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CC7514" w14:paraId="74EA9C15"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0D2137"/>
            <w:tcMar>
              <w:top w:w="140" w:type="dxa"/>
              <w:left w:w="180" w:type="dxa"/>
              <w:bottom w:w="100" w:type="dxa"/>
              <w:right w:w="180" w:type="dxa"/>
            </w:tcMar>
          </w:tcPr>
          <w:p w14:paraId="18A2FC40" w14:textId="77777777" w:rsidR="00CC7514" w:rsidRDefault="00000000">
            <w:pPr>
              <w:spacing w:after="40"/>
            </w:pPr>
            <w:r>
              <w:rPr>
                <w:b/>
                <w:bCs/>
                <w:color w:val="FFFFFF"/>
                <w:sz w:val="26"/>
                <w:szCs w:val="26"/>
              </w:rPr>
              <w:t>TANGRAM + EDGE AI</w:t>
            </w:r>
          </w:p>
          <w:p w14:paraId="3FB3EF28" w14:textId="77777777" w:rsidR="00CC7514" w:rsidRDefault="00000000">
            <w:r>
              <w:rPr>
                <w:color w:val="A0B4C8"/>
                <w:sz w:val="18"/>
                <w:szCs w:val="18"/>
              </w:rPr>
              <w:t>Use Case Evaluation Checklist</w:t>
            </w:r>
          </w:p>
        </w:tc>
      </w:tr>
    </w:tbl>
    <w:p w14:paraId="6772C790" w14:textId="77777777" w:rsidR="00CC7514" w:rsidRDefault="00CC7514">
      <w:pPr>
        <w:spacing w:before="20"/>
      </w:pPr>
    </w:p>
    <w:p w14:paraId="395EDBEB" w14:textId="77777777" w:rsidR="00CC7514" w:rsidRDefault="00000000">
      <w:pPr>
        <w:spacing w:before="80" w:after="40"/>
      </w:pPr>
      <w:r>
        <w:rPr>
          <w:b/>
          <w:bCs/>
          <w:color w:val="374151"/>
          <w:sz w:val="19"/>
          <w:szCs w:val="19"/>
        </w:rPr>
        <w:t xml:space="preserve">Framework: </w:t>
      </w:r>
      <w:r>
        <w:rPr>
          <w:color w:val="374151"/>
          <w:sz w:val="19"/>
          <w:szCs w:val="19"/>
        </w:rPr>
        <w:t>Tangram Zone Architecture with Edge AI Integration</w:t>
      </w:r>
    </w:p>
    <w:p w14:paraId="0727A2D6" w14:textId="77777777" w:rsidR="00CC7514" w:rsidRDefault="00000000">
      <w:pPr>
        <w:spacing w:after="40"/>
      </w:pPr>
      <w:r>
        <w:rPr>
          <w:b/>
          <w:bCs/>
          <w:color w:val="374151"/>
          <w:sz w:val="19"/>
          <w:szCs w:val="19"/>
        </w:rPr>
        <w:t xml:space="preserve">Purpose: </w:t>
      </w:r>
      <w:r>
        <w:rPr>
          <w:color w:val="374151"/>
          <w:sz w:val="19"/>
          <w:szCs w:val="19"/>
        </w:rPr>
        <w:t>Evaluate and score prospective use cases to determine suitability for implementation</w:t>
      </w:r>
    </w:p>
    <w:p w14:paraId="169EA4C4" w14:textId="77777777" w:rsidR="00CC7514" w:rsidRDefault="00000000">
      <w:pPr>
        <w:spacing w:after="40"/>
      </w:pPr>
      <w:r>
        <w:rPr>
          <w:b/>
          <w:bCs/>
          <w:color w:val="000000"/>
          <w:sz w:val="19"/>
          <w:szCs w:val="19"/>
        </w:rPr>
        <w:t xml:space="preserve">Use case assessed: </w:t>
      </w:r>
      <w:r>
        <w:rPr>
          <w:color w:val="374151"/>
          <w:sz w:val="19"/>
          <w:szCs w:val="19"/>
        </w:rPr>
        <w:t>____________________________________________________________</w:t>
      </w:r>
    </w:p>
    <w:p w14:paraId="5F23AF72" w14:textId="77777777" w:rsidR="00CC7514" w:rsidRDefault="00000000">
      <w:pPr>
        <w:spacing w:after="80"/>
      </w:pPr>
      <w:r>
        <w:rPr>
          <w:b/>
          <w:bCs/>
          <w:color w:val="000000"/>
          <w:sz w:val="19"/>
          <w:szCs w:val="19"/>
        </w:rPr>
        <w:t xml:space="preserve">Assessed by: </w:t>
      </w:r>
      <w:r>
        <w:rPr>
          <w:color w:val="374151"/>
          <w:sz w:val="19"/>
          <w:szCs w:val="19"/>
        </w:rPr>
        <w:t>_________________________</w:t>
      </w:r>
      <w:proofErr w:type="gramStart"/>
      <w:r>
        <w:rPr>
          <w:color w:val="374151"/>
          <w:sz w:val="19"/>
          <w:szCs w:val="19"/>
        </w:rPr>
        <w:t xml:space="preserve">_  </w:t>
      </w:r>
      <w:r>
        <w:rPr>
          <w:b/>
          <w:bCs/>
          <w:color w:val="000000"/>
          <w:sz w:val="19"/>
          <w:szCs w:val="19"/>
        </w:rPr>
        <w:t>Date</w:t>
      </w:r>
      <w:proofErr w:type="gramEnd"/>
      <w:r>
        <w:rPr>
          <w:b/>
          <w:bCs/>
          <w:color w:val="000000"/>
          <w:sz w:val="19"/>
          <w:szCs w:val="19"/>
        </w:rPr>
        <w:t xml:space="preserve">: </w:t>
      </w:r>
      <w:r>
        <w:rPr>
          <w:color w:val="374151"/>
          <w:sz w:val="19"/>
          <w:szCs w:val="19"/>
        </w:rPr>
        <w:t>____________________</w:t>
      </w:r>
    </w:p>
    <w:p w14:paraId="770E83C0" w14:textId="77777777" w:rsidR="00CC7514" w:rsidRDefault="00000000">
      <w:pPr>
        <w:spacing w:before="120" w:after="80"/>
      </w:pPr>
      <w:r>
        <w:rPr>
          <w:b/>
          <w:bCs/>
          <w:color w:val="0D2137"/>
          <w:sz w:val="24"/>
          <w:szCs w:val="24"/>
        </w:rPr>
        <w:t>How to Use This Checklist</w:t>
      </w:r>
    </w:p>
    <w:p w14:paraId="02E146B4" w14:textId="77777777" w:rsidR="00CC7514" w:rsidRDefault="00000000">
      <w:pPr>
        <w:spacing w:after="80"/>
      </w:pPr>
      <w:r>
        <w:rPr>
          <w:color w:val="374151"/>
          <w:sz w:val="19"/>
          <w:szCs w:val="19"/>
        </w:rPr>
        <w:t>This checklist evaluates prospective use cases across five dimensions: zone architecture viability, policy layer density, edge AI integration fit, operational reporting readiness, and commercial viability. Each criterion is scored 0–3 against descriptor anchors, then multiplied by its weight to produce a weighted score. Weighted scores are summed and normalised to a 100-point scale. Use the score band table to determine the recommendation.</w:t>
      </w:r>
    </w:p>
    <w:p w14:paraId="176214E0" w14:textId="77777777" w:rsidR="00CC7514" w:rsidRDefault="00000000">
      <w:pPr>
        <w:spacing w:before="80" w:after="60"/>
      </w:pPr>
      <w:r>
        <w:rPr>
          <w:b/>
          <w:bCs/>
          <w:color w:val="374151"/>
        </w:rPr>
        <w:t>Scoring Scale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98"/>
        <w:gridCol w:w="2484"/>
        <w:gridCol w:w="2508"/>
        <w:gridCol w:w="2488"/>
      </w:tblGrid>
      <w:tr w:rsidR="00CC7514" w14:paraId="045D226A" w14:textId="77777777" w:rsidTr="00445049">
        <w:tblPrEx>
          <w:tblCellMar>
            <w:top w:w="0" w:type="dxa"/>
            <w:bottom w:w="0" w:type="dxa"/>
          </w:tblCellMar>
        </w:tblPrEx>
        <w:trPr>
          <w:jc w:val="center"/>
        </w:trPr>
        <w:tc>
          <w:tcPr>
            <w:tcW w:w="12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80" w:type="dxa"/>
              <w:bottom w:w="60" w:type="dxa"/>
              <w:right w:w="80" w:type="dxa"/>
            </w:tcMar>
          </w:tcPr>
          <w:p w14:paraId="28C792AC" w14:textId="77777777" w:rsidR="00CC7514" w:rsidRDefault="00000000">
            <w:pPr>
              <w:jc w:val="center"/>
            </w:pPr>
            <w:r>
              <w:rPr>
                <w:b/>
                <w:bCs/>
                <w:color w:val="991B1B"/>
                <w:sz w:val="22"/>
                <w:szCs w:val="22"/>
              </w:rPr>
              <w:t>0</w:t>
            </w:r>
          </w:p>
        </w:tc>
        <w:tc>
          <w:tcPr>
            <w:tcW w:w="12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80" w:type="dxa"/>
              <w:bottom w:w="60" w:type="dxa"/>
              <w:right w:w="80" w:type="dxa"/>
            </w:tcMar>
          </w:tcPr>
          <w:p w14:paraId="0B528AEF" w14:textId="77777777" w:rsidR="00CC7514" w:rsidRDefault="00000000">
            <w:pPr>
              <w:jc w:val="center"/>
            </w:pPr>
            <w:r>
              <w:rPr>
                <w:b/>
                <w:bCs/>
                <w:color w:val="92400E"/>
                <w:sz w:val="22"/>
                <w:szCs w:val="22"/>
              </w:rPr>
              <w:t>1</w:t>
            </w:r>
          </w:p>
        </w:tc>
        <w:tc>
          <w:tcPr>
            <w:tcW w:w="12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80" w:type="dxa"/>
              <w:bottom w:w="60" w:type="dxa"/>
              <w:right w:w="80" w:type="dxa"/>
            </w:tcMar>
          </w:tcPr>
          <w:p w14:paraId="78A89A02" w14:textId="77777777" w:rsidR="00CC7514" w:rsidRDefault="00000000">
            <w:pPr>
              <w:jc w:val="center"/>
            </w:pPr>
            <w:r>
              <w:rPr>
                <w:b/>
                <w:bCs/>
                <w:color w:val="166534"/>
                <w:sz w:val="22"/>
                <w:szCs w:val="22"/>
              </w:rPr>
              <w:t>2</w:t>
            </w:r>
          </w:p>
        </w:tc>
        <w:tc>
          <w:tcPr>
            <w:tcW w:w="12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80" w:type="dxa"/>
              <w:bottom w:w="60" w:type="dxa"/>
              <w:right w:w="80" w:type="dxa"/>
            </w:tcMar>
          </w:tcPr>
          <w:p w14:paraId="77293EDA" w14:textId="77777777" w:rsidR="00CC7514" w:rsidRDefault="00000000">
            <w:pPr>
              <w:jc w:val="center"/>
            </w:pPr>
            <w:r>
              <w:rPr>
                <w:b/>
                <w:bCs/>
                <w:color w:val="14532D"/>
                <w:sz w:val="22"/>
                <w:szCs w:val="22"/>
              </w:rPr>
              <w:t>3</w:t>
            </w:r>
          </w:p>
        </w:tc>
      </w:tr>
      <w:tr w:rsidR="00CC7514" w14:paraId="47FA2A84" w14:textId="77777777" w:rsidTr="00445049">
        <w:tblPrEx>
          <w:tblCellMar>
            <w:top w:w="0" w:type="dxa"/>
            <w:bottom w:w="0" w:type="dxa"/>
          </w:tblCellMar>
        </w:tblPrEx>
        <w:trPr>
          <w:jc w:val="center"/>
        </w:trPr>
        <w:tc>
          <w:tcPr>
            <w:tcW w:w="30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80" w:type="dxa"/>
              <w:bottom w:w="60" w:type="dxa"/>
              <w:right w:w="80" w:type="dxa"/>
            </w:tcMar>
          </w:tcPr>
          <w:p w14:paraId="03FE01AC" w14:textId="77777777" w:rsidR="00CC7514" w:rsidRDefault="00000000">
            <w:pPr>
              <w:jc w:val="center"/>
            </w:pPr>
            <w:r>
              <w:rPr>
                <w:color w:val="991B1B"/>
                <w:sz w:val="18"/>
                <w:szCs w:val="18"/>
              </w:rPr>
              <w:t>Absent / Disqualifying</w:t>
            </w:r>
          </w:p>
        </w:tc>
        <w:tc>
          <w:tcPr>
            <w:tcW w:w="30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80" w:type="dxa"/>
              <w:bottom w:w="60" w:type="dxa"/>
              <w:right w:w="80" w:type="dxa"/>
            </w:tcMar>
          </w:tcPr>
          <w:p w14:paraId="4292C9B3" w14:textId="77777777" w:rsidR="00CC7514" w:rsidRDefault="00000000">
            <w:pPr>
              <w:jc w:val="center"/>
            </w:pPr>
            <w:r>
              <w:rPr>
                <w:color w:val="92400E"/>
                <w:sz w:val="18"/>
                <w:szCs w:val="18"/>
              </w:rPr>
              <w:t>Weak / Partial</w:t>
            </w:r>
          </w:p>
        </w:tc>
        <w:tc>
          <w:tcPr>
            <w:tcW w:w="30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80" w:type="dxa"/>
              <w:bottom w:w="60" w:type="dxa"/>
              <w:right w:w="80" w:type="dxa"/>
            </w:tcMar>
          </w:tcPr>
          <w:p w14:paraId="1450A3EF" w14:textId="77777777" w:rsidR="00CC7514" w:rsidRDefault="00000000">
            <w:pPr>
              <w:jc w:val="center"/>
            </w:pPr>
            <w:r>
              <w:rPr>
                <w:color w:val="166534"/>
                <w:sz w:val="18"/>
                <w:szCs w:val="18"/>
              </w:rPr>
              <w:t>Good / Present</w:t>
            </w:r>
          </w:p>
        </w:tc>
        <w:tc>
          <w:tcPr>
            <w:tcW w:w="30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80" w:type="dxa"/>
              <w:bottom w:w="60" w:type="dxa"/>
              <w:right w:w="80" w:type="dxa"/>
            </w:tcMar>
          </w:tcPr>
          <w:p w14:paraId="74ADBB5F" w14:textId="77777777" w:rsidR="00CC7514" w:rsidRDefault="00000000">
            <w:pPr>
              <w:jc w:val="center"/>
            </w:pPr>
            <w:r>
              <w:rPr>
                <w:color w:val="14532D"/>
                <w:sz w:val="18"/>
                <w:szCs w:val="18"/>
              </w:rPr>
              <w:t>Strong / Ideal</w:t>
            </w:r>
          </w:p>
        </w:tc>
      </w:tr>
    </w:tbl>
    <w:p w14:paraId="633DDF4B" w14:textId="77777777" w:rsidR="00CC7514" w:rsidRDefault="00CC7514">
      <w:pPr>
        <w:spacing w:before="80"/>
      </w:pPr>
    </w:p>
    <w:p w14:paraId="57AC3C2D" w14:textId="77777777" w:rsidR="00CC7514" w:rsidRDefault="00000000">
      <w:pPr>
        <w:spacing w:before="100" w:after="60"/>
      </w:pPr>
      <w:r>
        <w:rPr>
          <w:b/>
          <w:bCs/>
          <w:color w:val="991B1B"/>
        </w:rPr>
        <w:t>Automatic Disqualifiers — Check Before Scoring</w:t>
      </w:r>
    </w:p>
    <w:p w14:paraId="058D74D3" w14:textId="77777777" w:rsidR="00CC7514" w:rsidRDefault="00000000">
      <w:pPr>
        <w:spacing w:after="70"/>
      </w:pPr>
      <w:r>
        <w:rPr>
          <w:color w:val="374151"/>
          <w:sz w:val="19"/>
          <w:szCs w:val="19"/>
        </w:rPr>
        <w:t>If any of the following conditions apply, do not proceed with scoring. These are structural incompatibilities that cannot be resolved by design choices within the architecture.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7080"/>
      </w:tblGrid>
      <w:tr w:rsidR="00CC7514" w14:paraId="17F33D8E" w14:textId="77777777">
        <w:tblPrEx>
          <w:tblCellMar>
            <w:top w:w="0" w:type="dxa"/>
            <w:bottom w:w="0" w:type="dxa"/>
          </w:tblCellMar>
        </w:tblPrEx>
        <w:tc>
          <w:tcPr>
            <w:tcW w:w="3000" w:type="dxa"/>
            <w:tcBorders>
              <w:top w:val="single" w:sz="1" w:space="0" w:color="991B1B"/>
              <w:left w:val="single" w:sz="1" w:space="0" w:color="991B1B"/>
              <w:bottom w:val="single" w:sz="1" w:space="0" w:color="991B1B"/>
              <w:right w:val="single" w:sz="1" w:space="0" w:color="991B1B"/>
            </w:tcBorders>
            <w:shd w:val="clear" w:color="auto" w:fill="991B1B"/>
            <w:tcMar>
              <w:top w:w="80" w:type="dxa"/>
              <w:left w:w="100" w:type="dxa"/>
              <w:bottom w:w="80" w:type="dxa"/>
              <w:right w:w="80" w:type="dxa"/>
            </w:tcMar>
          </w:tcPr>
          <w:p w14:paraId="1EC77A67" w14:textId="77777777" w:rsidR="00CC7514" w:rsidRDefault="00000000">
            <w:r>
              <w:rPr>
                <w:b/>
                <w:bCs/>
                <w:color w:val="FFFFFF"/>
                <w:sz w:val="19"/>
                <w:szCs w:val="19"/>
              </w:rPr>
              <w:t>Disqualifier</w:t>
            </w:r>
          </w:p>
        </w:tc>
        <w:tc>
          <w:tcPr>
            <w:tcW w:w="7080" w:type="dxa"/>
            <w:tcBorders>
              <w:top w:val="single" w:sz="1" w:space="0" w:color="991B1B"/>
              <w:left w:val="single" w:sz="1" w:space="0" w:color="991B1B"/>
              <w:bottom w:val="single" w:sz="1" w:space="0" w:color="991B1B"/>
              <w:right w:val="single" w:sz="1" w:space="0" w:color="991B1B"/>
            </w:tcBorders>
            <w:shd w:val="clear" w:color="auto" w:fill="991B1B"/>
            <w:tcMar>
              <w:top w:w="80" w:type="dxa"/>
              <w:left w:w="100" w:type="dxa"/>
              <w:bottom w:w="80" w:type="dxa"/>
              <w:right w:w="80" w:type="dxa"/>
            </w:tcMar>
          </w:tcPr>
          <w:p w14:paraId="65AF7A49" w14:textId="77777777" w:rsidR="00CC7514" w:rsidRDefault="00000000">
            <w:r>
              <w:rPr>
                <w:b/>
                <w:bCs/>
                <w:color w:val="FFFFFF"/>
                <w:sz w:val="19"/>
                <w:szCs w:val="19"/>
              </w:rPr>
              <w:t>Why it matters</w:t>
            </w:r>
          </w:p>
        </w:tc>
      </w:tr>
      <w:tr w:rsidR="00CC7514" w14:paraId="20F7733A" w14:textId="77777777">
        <w:tblPrEx>
          <w:tblCellMar>
            <w:top w:w="0" w:type="dxa"/>
            <w:bottom w:w="0" w:type="dxa"/>
          </w:tblCellMar>
        </w:tblPrEx>
        <w:tc>
          <w:tcPr>
            <w:tcW w:w="3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00" w:type="dxa"/>
              <w:bottom w:w="80" w:type="dxa"/>
              <w:right w:w="80" w:type="dxa"/>
            </w:tcMar>
          </w:tcPr>
          <w:p w14:paraId="698D2DCD" w14:textId="77777777" w:rsidR="00CC7514" w:rsidRDefault="00000000">
            <w:r>
              <w:rPr>
                <w:b/>
                <w:bCs/>
                <w:color w:val="991B1B"/>
                <w:sz w:val="19"/>
                <w:szCs w:val="19"/>
              </w:rPr>
              <w:t>No identifiable zone boundaries</w:t>
            </w:r>
          </w:p>
        </w:tc>
        <w:tc>
          <w:tcPr>
            <w:tcW w:w="708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00" w:type="dxa"/>
              <w:bottom w:w="80" w:type="dxa"/>
              <w:right w:w="80" w:type="dxa"/>
            </w:tcMar>
          </w:tcPr>
          <w:p w14:paraId="6822FAAB" w14:textId="77777777" w:rsidR="00CC7514" w:rsidRDefault="00000000">
            <w:r>
              <w:rPr>
                <w:color w:val="374151"/>
                <w:sz w:val="19"/>
                <w:szCs w:val="19"/>
              </w:rPr>
              <w:t>If the process cannot be decomposed into zones with distinct entry/exit conditions, the architecture has no structural home.</w:t>
            </w:r>
          </w:p>
        </w:tc>
      </w:tr>
      <w:tr w:rsidR="00CC7514" w14:paraId="125011A8" w14:textId="77777777">
        <w:tblPrEx>
          <w:tblCellMar>
            <w:top w:w="0" w:type="dxa"/>
            <w:bottom w:w="0" w:type="dxa"/>
          </w:tblCellMar>
        </w:tblPrEx>
        <w:tc>
          <w:tcPr>
            <w:tcW w:w="30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100" w:type="dxa"/>
              <w:bottom w:w="80" w:type="dxa"/>
              <w:right w:w="80" w:type="dxa"/>
            </w:tcMar>
          </w:tcPr>
          <w:p w14:paraId="500C2A46" w14:textId="77777777" w:rsidR="00CC7514" w:rsidRDefault="00000000">
            <w:r>
              <w:rPr>
                <w:b/>
                <w:bCs/>
                <w:color w:val="991B1B"/>
                <w:sz w:val="19"/>
                <w:szCs w:val="19"/>
              </w:rPr>
              <w:t>No governing policy instruments</w:t>
            </w:r>
          </w:p>
        </w:tc>
        <w:tc>
          <w:tcPr>
            <w:tcW w:w="70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100" w:type="dxa"/>
              <w:bottom w:w="80" w:type="dxa"/>
              <w:right w:w="80" w:type="dxa"/>
            </w:tcMar>
          </w:tcPr>
          <w:p w14:paraId="7DBE8DBA" w14:textId="77777777" w:rsidR="00CC7514" w:rsidRDefault="00000000">
            <w:r>
              <w:rPr>
                <w:color w:val="374151"/>
                <w:sz w:val="19"/>
                <w:szCs w:val="19"/>
              </w:rPr>
              <w:t>If there are no policies, regulations, or compliance obligations that can be mapped to zones, the policy layer is empty — Tangram becomes workflow software.</w:t>
            </w:r>
          </w:p>
        </w:tc>
      </w:tr>
      <w:tr w:rsidR="00CC7514" w14:paraId="3EF8A434" w14:textId="77777777">
        <w:tblPrEx>
          <w:tblCellMar>
            <w:top w:w="0" w:type="dxa"/>
            <w:bottom w:w="0" w:type="dxa"/>
          </w:tblCellMar>
        </w:tblPrEx>
        <w:tc>
          <w:tcPr>
            <w:tcW w:w="3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00" w:type="dxa"/>
              <w:bottom w:w="80" w:type="dxa"/>
              <w:right w:w="80" w:type="dxa"/>
            </w:tcMar>
          </w:tcPr>
          <w:p w14:paraId="24C221E4" w14:textId="77777777" w:rsidR="00CC7514" w:rsidRDefault="00000000">
            <w:r>
              <w:rPr>
                <w:b/>
                <w:bCs/>
                <w:color w:val="991B1B"/>
                <w:sz w:val="19"/>
                <w:szCs w:val="19"/>
              </w:rPr>
              <w:t>Edge AI output cannot be structured</w:t>
            </w:r>
          </w:p>
        </w:tc>
        <w:tc>
          <w:tcPr>
            <w:tcW w:w="708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00" w:type="dxa"/>
              <w:bottom w:w="80" w:type="dxa"/>
              <w:right w:w="80" w:type="dxa"/>
            </w:tcMar>
          </w:tcPr>
          <w:p w14:paraId="469AE2B9" w14:textId="77777777" w:rsidR="00CC7514" w:rsidRDefault="00000000">
            <w:r>
              <w:rPr>
                <w:color w:val="374151"/>
                <w:sz w:val="19"/>
                <w:szCs w:val="19"/>
              </w:rPr>
              <w:t xml:space="preserve">If the AI model produces unstructured or purely interpretive output that cannot be translated into a pass/fail/score signal, it cannot enter the zone model as a </w:t>
            </w:r>
            <w:proofErr w:type="spellStart"/>
            <w:r>
              <w:rPr>
                <w:color w:val="374151"/>
                <w:sz w:val="19"/>
                <w:szCs w:val="19"/>
              </w:rPr>
              <w:t>conops</w:t>
            </w:r>
            <w:proofErr w:type="spellEnd"/>
            <w:r>
              <w:rPr>
                <w:color w:val="374151"/>
                <w:sz w:val="19"/>
                <w:szCs w:val="19"/>
              </w:rPr>
              <w:t>-layer input.</w:t>
            </w:r>
          </w:p>
        </w:tc>
      </w:tr>
      <w:tr w:rsidR="00CC7514" w14:paraId="03F104E9" w14:textId="77777777">
        <w:tblPrEx>
          <w:tblCellMar>
            <w:top w:w="0" w:type="dxa"/>
            <w:bottom w:w="0" w:type="dxa"/>
          </w:tblCellMar>
        </w:tblPrEx>
        <w:tc>
          <w:tcPr>
            <w:tcW w:w="30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100" w:type="dxa"/>
              <w:bottom w:w="80" w:type="dxa"/>
              <w:right w:w="80" w:type="dxa"/>
            </w:tcMar>
          </w:tcPr>
          <w:p w14:paraId="63C0464A" w14:textId="77777777" w:rsidR="00CC7514" w:rsidRDefault="00000000">
            <w:r>
              <w:rPr>
                <w:b/>
                <w:bCs/>
                <w:color w:val="991B1B"/>
                <w:sz w:val="19"/>
                <w:szCs w:val="19"/>
              </w:rPr>
              <w:t>Data cannot remain at the edge</w:t>
            </w:r>
          </w:p>
        </w:tc>
        <w:tc>
          <w:tcPr>
            <w:tcW w:w="70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100" w:type="dxa"/>
              <w:bottom w:w="80" w:type="dxa"/>
              <w:right w:w="80" w:type="dxa"/>
            </w:tcMar>
          </w:tcPr>
          <w:p w14:paraId="62557832" w14:textId="77777777" w:rsidR="00CC7514" w:rsidRDefault="00000000">
            <w:r>
              <w:rPr>
                <w:color w:val="374151"/>
                <w:sz w:val="19"/>
                <w:szCs w:val="19"/>
              </w:rPr>
              <w:t>If regulatory, commercial, or technical constraints require all data to transit a central server, the edge deployment rationale is undermined and an alternative architecture should be evaluated.</w:t>
            </w:r>
          </w:p>
        </w:tc>
      </w:tr>
      <w:tr w:rsidR="00CC7514" w14:paraId="1A611C32" w14:textId="77777777">
        <w:tblPrEx>
          <w:tblCellMar>
            <w:top w:w="0" w:type="dxa"/>
            <w:bottom w:w="0" w:type="dxa"/>
          </w:tblCellMar>
        </w:tblPrEx>
        <w:tc>
          <w:tcPr>
            <w:tcW w:w="3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00" w:type="dxa"/>
              <w:bottom w:w="80" w:type="dxa"/>
              <w:right w:w="80" w:type="dxa"/>
            </w:tcMar>
          </w:tcPr>
          <w:p w14:paraId="505623F4" w14:textId="77777777" w:rsidR="00CC7514" w:rsidRDefault="00000000">
            <w:r>
              <w:rPr>
                <w:b/>
                <w:bCs/>
                <w:color w:val="991B1B"/>
                <w:sz w:val="19"/>
                <w:szCs w:val="19"/>
              </w:rPr>
              <w:t>No measurable process outcome</w:t>
            </w:r>
          </w:p>
        </w:tc>
        <w:tc>
          <w:tcPr>
            <w:tcW w:w="708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00" w:type="dxa"/>
              <w:bottom w:w="80" w:type="dxa"/>
              <w:right w:w="80" w:type="dxa"/>
            </w:tcMar>
          </w:tcPr>
          <w:p w14:paraId="13AE2228" w14:textId="77777777" w:rsidR="00CC7514" w:rsidRDefault="00000000">
            <w:r>
              <w:rPr>
                <w:color w:val="374151"/>
                <w:sz w:val="19"/>
                <w:szCs w:val="19"/>
              </w:rPr>
              <w:t>If there is no definable exit state for the continuum — no way to determine whether a case was resolved correctly — the reporting layer has nothing to measure and program integrity cannot be demonstrated.</w:t>
            </w:r>
          </w:p>
        </w:tc>
      </w:tr>
    </w:tbl>
    <w:p w14:paraId="1A835E77" w14:textId="77777777" w:rsidR="00CC7514" w:rsidRDefault="00CC7514">
      <w:pPr>
        <w:spacing w:before="60"/>
      </w:pPr>
    </w:p>
    <w:p w14:paraId="29DA458F" w14:textId="77777777" w:rsidR="00445049" w:rsidRDefault="00000000">
      <w:pPr>
        <w:spacing w:before="60" w:after="80"/>
        <w:rPr>
          <w:color w:val="374151"/>
          <w:sz w:val="19"/>
          <w:szCs w:val="19"/>
        </w:rPr>
      </w:pPr>
      <w:r>
        <w:rPr>
          <w:b/>
          <w:bCs/>
          <w:color w:val="000000"/>
          <w:sz w:val="19"/>
          <w:szCs w:val="19"/>
        </w:rPr>
        <w:t xml:space="preserve">Disqualifiers present? </w:t>
      </w:r>
      <w:r>
        <w:rPr>
          <w:color w:val="374151"/>
          <w:sz w:val="19"/>
          <w:szCs w:val="19"/>
        </w:rPr>
        <w:t xml:space="preserve">  ☐ None — proceed to scoring     ☐ One or more identified — do not proceed</w:t>
      </w:r>
    </w:p>
    <w:p w14:paraId="3CCBCCD4" w14:textId="2AB0F7BD" w:rsidR="00CC7514" w:rsidRDefault="00000000">
      <w:pPr>
        <w:spacing w:before="60" w:after="80"/>
      </w:pPr>
      <w:r>
        <w:rPr>
          <w:color w:val="374151"/>
          <w:sz w:val="19"/>
          <w:szCs w:val="19"/>
        </w:rPr>
        <w:t>____________________________________________</w:t>
      </w:r>
    </w:p>
    <w:p w14:paraId="717DB36F" w14:textId="736CC43B" w:rsidR="00445049" w:rsidRDefault="00445049">
      <w:r>
        <w:br w:type="page"/>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CC7514" w14:paraId="479DD5C0"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0D2137"/>
            <w:tcMar>
              <w:top w:w="140" w:type="dxa"/>
              <w:left w:w="180" w:type="dxa"/>
              <w:bottom w:w="100" w:type="dxa"/>
              <w:right w:w="180" w:type="dxa"/>
            </w:tcMar>
          </w:tcPr>
          <w:p w14:paraId="7E59A208" w14:textId="77777777" w:rsidR="00CC7514" w:rsidRDefault="00000000">
            <w:pPr>
              <w:spacing w:after="40"/>
            </w:pPr>
            <w:r>
              <w:rPr>
                <w:b/>
                <w:bCs/>
                <w:color w:val="FFFFFF"/>
                <w:sz w:val="26"/>
                <w:szCs w:val="26"/>
              </w:rPr>
              <w:lastRenderedPageBreak/>
              <w:t>EVALUATION CHECKLIST</w:t>
            </w:r>
          </w:p>
          <w:p w14:paraId="4FA9FEB9" w14:textId="77777777" w:rsidR="00CC7514" w:rsidRDefault="00000000">
            <w:r>
              <w:rPr>
                <w:color w:val="A0B4C8"/>
                <w:sz w:val="18"/>
                <w:szCs w:val="18"/>
              </w:rPr>
              <w:t>Score each criterion 0–3 using the descriptor anchors. Record evidence or notes in the final column.</w:t>
            </w:r>
          </w:p>
        </w:tc>
      </w:tr>
    </w:tbl>
    <w:p w14:paraId="0D1DF8BA" w14:textId="77777777" w:rsidR="00CC7514" w:rsidRDefault="00CC7514">
      <w:pPr>
        <w:spacing w:before="2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88"/>
        <w:gridCol w:w="898"/>
        <w:gridCol w:w="1161"/>
        <w:gridCol w:w="1084"/>
        <w:gridCol w:w="1093"/>
        <w:gridCol w:w="1160"/>
        <w:gridCol w:w="1196"/>
      </w:tblGrid>
      <w:tr w:rsidR="00CC7514" w14:paraId="046E21FD" w14:textId="77777777">
        <w:tblPrEx>
          <w:tblCellMar>
            <w:top w:w="0" w:type="dxa"/>
            <w:bottom w:w="0" w:type="dxa"/>
          </w:tblCellMar>
        </w:tblPrEx>
        <w:trPr>
          <w:tblHeader/>
        </w:trPr>
        <w:tc>
          <w:tcPr>
            <w:tcW w:w="4800" w:type="dxa"/>
            <w:tcBorders>
              <w:top w:val="single" w:sz="1" w:space="0" w:color="0D2137"/>
              <w:left w:val="single" w:sz="1" w:space="0" w:color="0D2137"/>
              <w:bottom w:val="single" w:sz="1" w:space="0" w:color="0D2137"/>
              <w:right w:val="single" w:sz="1" w:space="0" w:color="0D2137"/>
            </w:tcBorders>
            <w:shd w:val="clear" w:color="auto" w:fill="1E3A5F"/>
            <w:tcMar>
              <w:top w:w="80" w:type="dxa"/>
              <w:left w:w="100" w:type="dxa"/>
              <w:bottom w:w="80" w:type="dxa"/>
              <w:right w:w="80" w:type="dxa"/>
            </w:tcMar>
            <w:vAlign w:val="center"/>
          </w:tcPr>
          <w:p w14:paraId="51DBA01B" w14:textId="77777777" w:rsidR="00CC7514" w:rsidRDefault="00000000">
            <w:r>
              <w:rPr>
                <w:b/>
                <w:bCs/>
                <w:color w:val="FFFFFF"/>
                <w:sz w:val="17"/>
                <w:szCs w:val="17"/>
              </w:rPr>
              <w:t>Criterion</w:t>
            </w:r>
          </w:p>
        </w:tc>
        <w:tc>
          <w:tcPr>
            <w:tcW w:w="1000" w:type="dxa"/>
            <w:tcBorders>
              <w:top w:val="single" w:sz="1" w:space="0" w:color="0D2137"/>
              <w:left w:val="single" w:sz="1" w:space="0" w:color="0D2137"/>
              <w:bottom w:val="single" w:sz="1" w:space="0" w:color="0D2137"/>
              <w:right w:val="single" w:sz="1" w:space="0" w:color="0D2137"/>
            </w:tcBorders>
            <w:shd w:val="clear" w:color="auto" w:fill="1E3A5F"/>
            <w:tcMar>
              <w:top w:w="80" w:type="dxa"/>
              <w:left w:w="100" w:type="dxa"/>
              <w:bottom w:w="80" w:type="dxa"/>
              <w:right w:w="80" w:type="dxa"/>
            </w:tcMar>
            <w:vAlign w:val="center"/>
          </w:tcPr>
          <w:p w14:paraId="719A0FE9" w14:textId="77777777" w:rsidR="00CC7514" w:rsidRDefault="00000000">
            <w:r>
              <w:rPr>
                <w:b/>
                <w:bCs/>
                <w:color w:val="FFFFFF"/>
                <w:sz w:val="17"/>
                <w:szCs w:val="17"/>
              </w:rPr>
              <w:t>Weight</w:t>
            </w:r>
          </w:p>
        </w:tc>
        <w:tc>
          <w:tcPr>
            <w:tcW w:w="700" w:type="dxa"/>
            <w:tcBorders>
              <w:top w:val="single" w:sz="1" w:space="0" w:color="0D2137"/>
              <w:left w:val="single" w:sz="1" w:space="0" w:color="0D2137"/>
              <w:bottom w:val="single" w:sz="1" w:space="0" w:color="0D2137"/>
              <w:right w:val="single" w:sz="1" w:space="0" w:color="0D2137"/>
            </w:tcBorders>
            <w:shd w:val="clear" w:color="auto" w:fill="1E3A5F"/>
            <w:tcMar>
              <w:top w:w="80" w:type="dxa"/>
              <w:left w:w="100" w:type="dxa"/>
              <w:bottom w:w="80" w:type="dxa"/>
              <w:right w:w="80" w:type="dxa"/>
            </w:tcMar>
            <w:vAlign w:val="center"/>
          </w:tcPr>
          <w:p w14:paraId="3E615142" w14:textId="77777777" w:rsidR="00CC7514" w:rsidRDefault="00000000">
            <w:pPr>
              <w:jc w:val="center"/>
            </w:pPr>
            <w:r>
              <w:rPr>
                <w:b/>
                <w:bCs/>
                <w:color w:val="FFFFFF"/>
                <w:sz w:val="17"/>
                <w:szCs w:val="17"/>
              </w:rPr>
              <w:t>0</w:t>
            </w:r>
          </w:p>
        </w:tc>
        <w:tc>
          <w:tcPr>
            <w:tcW w:w="700" w:type="dxa"/>
            <w:tcBorders>
              <w:top w:val="single" w:sz="1" w:space="0" w:color="0D2137"/>
              <w:left w:val="single" w:sz="1" w:space="0" w:color="0D2137"/>
              <w:bottom w:val="single" w:sz="1" w:space="0" w:color="0D2137"/>
              <w:right w:val="single" w:sz="1" w:space="0" w:color="0D2137"/>
            </w:tcBorders>
            <w:shd w:val="clear" w:color="auto" w:fill="1E3A5F"/>
            <w:tcMar>
              <w:top w:w="80" w:type="dxa"/>
              <w:left w:w="100" w:type="dxa"/>
              <w:bottom w:w="80" w:type="dxa"/>
              <w:right w:w="80" w:type="dxa"/>
            </w:tcMar>
            <w:vAlign w:val="center"/>
          </w:tcPr>
          <w:p w14:paraId="3677354E" w14:textId="77777777" w:rsidR="00CC7514" w:rsidRDefault="00000000">
            <w:pPr>
              <w:jc w:val="center"/>
            </w:pPr>
            <w:r>
              <w:rPr>
                <w:b/>
                <w:bCs/>
                <w:color w:val="FFFFFF"/>
                <w:sz w:val="17"/>
                <w:szCs w:val="17"/>
              </w:rPr>
              <w:t>1</w:t>
            </w:r>
          </w:p>
        </w:tc>
        <w:tc>
          <w:tcPr>
            <w:tcW w:w="700" w:type="dxa"/>
            <w:tcBorders>
              <w:top w:val="single" w:sz="1" w:space="0" w:color="0D2137"/>
              <w:left w:val="single" w:sz="1" w:space="0" w:color="0D2137"/>
              <w:bottom w:val="single" w:sz="1" w:space="0" w:color="0D2137"/>
              <w:right w:val="single" w:sz="1" w:space="0" w:color="0D2137"/>
            </w:tcBorders>
            <w:shd w:val="clear" w:color="auto" w:fill="1E3A5F"/>
            <w:tcMar>
              <w:top w:w="80" w:type="dxa"/>
              <w:left w:w="100" w:type="dxa"/>
              <w:bottom w:w="80" w:type="dxa"/>
              <w:right w:w="80" w:type="dxa"/>
            </w:tcMar>
            <w:vAlign w:val="center"/>
          </w:tcPr>
          <w:p w14:paraId="1644D37F" w14:textId="77777777" w:rsidR="00CC7514" w:rsidRDefault="00000000">
            <w:pPr>
              <w:jc w:val="center"/>
            </w:pPr>
            <w:r>
              <w:rPr>
                <w:b/>
                <w:bCs/>
                <w:color w:val="FFFFFF"/>
                <w:sz w:val="17"/>
                <w:szCs w:val="17"/>
              </w:rPr>
              <w:t>2</w:t>
            </w:r>
          </w:p>
        </w:tc>
        <w:tc>
          <w:tcPr>
            <w:tcW w:w="700" w:type="dxa"/>
            <w:tcBorders>
              <w:top w:val="single" w:sz="1" w:space="0" w:color="0D2137"/>
              <w:left w:val="single" w:sz="1" w:space="0" w:color="0D2137"/>
              <w:bottom w:val="single" w:sz="1" w:space="0" w:color="0D2137"/>
              <w:right w:val="single" w:sz="1" w:space="0" w:color="0D2137"/>
            </w:tcBorders>
            <w:shd w:val="clear" w:color="auto" w:fill="1E3A5F"/>
            <w:tcMar>
              <w:top w:w="80" w:type="dxa"/>
              <w:left w:w="100" w:type="dxa"/>
              <w:bottom w:w="80" w:type="dxa"/>
              <w:right w:w="80" w:type="dxa"/>
            </w:tcMar>
            <w:vAlign w:val="center"/>
          </w:tcPr>
          <w:p w14:paraId="697260AA" w14:textId="77777777" w:rsidR="00CC7514" w:rsidRDefault="00000000">
            <w:pPr>
              <w:jc w:val="center"/>
            </w:pPr>
            <w:r>
              <w:rPr>
                <w:b/>
                <w:bCs/>
                <w:color w:val="FFFFFF"/>
                <w:sz w:val="17"/>
                <w:szCs w:val="17"/>
              </w:rPr>
              <w:t>3</w:t>
            </w:r>
          </w:p>
        </w:tc>
        <w:tc>
          <w:tcPr>
            <w:tcW w:w="1380" w:type="dxa"/>
            <w:tcBorders>
              <w:top w:val="single" w:sz="1" w:space="0" w:color="0D2137"/>
              <w:left w:val="single" w:sz="1" w:space="0" w:color="0D2137"/>
              <w:bottom w:val="single" w:sz="1" w:space="0" w:color="0D2137"/>
              <w:right w:val="single" w:sz="1" w:space="0" w:color="0D2137"/>
            </w:tcBorders>
            <w:shd w:val="clear" w:color="auto" w:fill="1E3A5F"/>
            <w:tcMar>
              <w:top w:w="80" w:type="dxa"/>
              <w:left w:w="100" w:type="dxa"/>
              <w:bottom w:w="80" w:type="dxa"/>
              <w:right w:w="80" w:type="dxa"/>
            </w:tcMar>
            <w:vAlign w:val="center"/>
          </w:tcPr>
          <w:p w14:paraId="63F33611" w14:textId="77777777" w:rsidR="00CC7514" w:rsidRDefault="00000000">
            <w:pPr>
              <w:jc w:val="center"/>
            </w:pPr>
            <w:r>
              <w:rPr>
                <w:b/>
                <w:bCs/>
                <w:color w:val="FFFFFF"/>
                <w:sz w:val="17"/>
                <w:szCs w:val="17"/>
              </w:rPr>
              <w:t>Notes / Evidence</w:t>
            </w:r>
          </w:p>
        </w:tc>
      </w:tr>
      <w:tr w:rsidR="00CC7514" w14:paraId="6A2E1C47" w14:textId="77777777">
        <w:tblPrEx>
          <w:tblCellMar>
            <w:top w:w="0" w:type="dxa"/>
            <w:bottom w:w="0" w:type="dxa"/>
          </w:tblCellMar>
        </w:tblPrEx>
        <w:tc>
          <w:tcPr>
            <w:tcW w:w="0" w:type="auto"/>
            <w:gridSpan w:val="7"/>
            <w:tcBorders>
              <w:top w:val="single" w:sz="1" w:space="0" w:color="D1D5DB"/>
              <w:left w:val="single" w:sz="1" w:space="0" w:color="D1D5DB"/>
              <w:bottom w:val="single" w:sz="1" w:space="0" w:color="B45309"/>
              <w:right w:val="single" w:sz="1" w:space="0" w:color="D1D5DB"/>
            </w:tcBorders>
            <w:shd w:val="clear" w:color="auto" w:fill="FEF3C7"/>
            <w:tcMar>
              <w:top w:w="70" w:type="dxa"/>
              <w:left w:w="100" w:type="dxa"/>
              <w:bottom w:w="60" w:type="dxa"/>
              <w:right w:w="80" w:type="dxa"/>
            </w:tcMar>
          </w:tcPr>
          <w:p w14:paraId="101AAB66" w14:textId="77777777" w:rsidR="00CC7514" w:rsidRDefault="00000000">
            <w:proofErr w:type="gramStart"/>
            <w:r>
              <w:rPr>
                <w:b/>
                <w:bCs/>
                <w:color w:val="B45309"/>
                <w:sz w:val="18"/>
                <w:szCs w:val="18"/>
              </w:rPr>
              <w:t>A  —</w:t>
            </w:r>
            <w:proofErr w:type="gramEnd"/>
            <w:r>
              <w:rPr>
                <w:b/>
                <w:bCs/>
                <w:color w:val="B45309"/>
                <w:sz w:val="18"/>
                <w:szCs w:val="18"/>
              </w:rPr>
              <w:t xml:space="preserve">  Zone Architecture Viability   |   Can the use case be structured as zones with defined boundaries?</w:t>
            </w:r>
          </w:p>
        </w:tc>
      </w:tr>
      <w:tr w:rsidR="00CC7514" w14:paraId="1A2DCF16"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00" w:type="dxa"/>
            </w:tcMar>
          </w:tcPr>
          <w:p w14:paraId="05FFC0CA" w14:textId="77777777" w:rsidR="00CC7514" w:rsidRDefault="00000000">
            <w:pPr>
              <w:spacing w:after="30"/>
            </w:pPr>
            <w:r>
              <w:rPr>
                <w:b/>
                <w:bCs/>
                <w:color w:val="0D2137"/>
                <w:sz w:val="19"/>
                <w:szCs w:val="19"/>
              </w:rPr>
              <w:t>Identifiable zone boundaries</w:t>
            </w:r>
          </w:p>
        </w:tc>
        <w:tc>
          <w:tcPr>
            <w:tcW w:w="1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80" w:type="dxa"/>
              <w:bottom w:w="80" w:type="dxa"/>
              <w:right w:w="80" w:type="dxa"/>
            </w:tcMar>
          </w:tcPr>
          <w:p w14:paraId="3F93B590" w14:textId="77777777" w:rsidR="00CC7514" w:rsidRDefault="00000000">
            <w:pPr>
              <w:jc w:val="center"/>
            </w:pPr>
            <w:r>
              <w:rPr>
                <w:b/>
                <w:bCs/>
                <w:color w:val="B45309"/>
                <w:sz w:val="18"/>
                <w:szCs w:val="18"/>
              </w:rPr>
              <w:t>×5</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20A92749" w14:textId="77777777" w:rsidR="00CC7514" w:rsidRDefault="00000000">
            <w:pPr>
              <w:jc w:val="center"/>
            </w:pPr>
            <w:r>
              <w:rPr>
                <w:color w:val="374151"/>
                <w:sz w:val="15"/>
                <w:szCs w:val="15"/>
              </w:rPr>
              <w:t>No distinct stages — continuous or undifferentiated process</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1454EA6C" w14:textId="77777777" w:rsidR="00CC7514" w:rsidRDefault="00000000">
            <w:pPr>
              <w:jc w:val="center"/>
            </w:pPr>
            <w:r>
              <w:rPr>
                <w:color w:val="374151"/>
                <w:sz w:val="15"/>
                <w:szCs w:val="15"/>
              </w:rPr>
              <w:t>Stages exist but boundaries are informal or contested</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18B1EEFA" w14:textId="77777777" w:rsidR="00CC7514" w:rsidRDefault="00000000">
            <w:pPr>
              <w:jc w:val="center"/>
            </w:pPr>
            <w:r>
              <w:rPr>
                <w:color w:val="374151"/>
                <w:sz w:val="15"/>
                <w:szCs w:val="15"/>
              </w:rPr>
              <w:t>Clear stages with recognisable handoff points</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7D29BA11" w14:textId="77777777" w:rsidR="00CC7514" w:rsidRDefault="00000000">
            <w:pPr>
              <w:jc w:val="center"/>
            </w:pPr>
            <w:r>
              <w:rPr>
                <w:color w:val="374151"/>
                <w:sz w:val="15"/>
                <w:szCs w:val="15"/>
              </w:rPr>
              <w:t>Explicit, documented zone boundaries with named entry and exit states</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44D428CB" w14:textId="77777777" w:rsidR="00CC7514" w:rsidRDefault="00CC7514"/>
        </w:tc>
      </w:tr>
      <w:tr w:rsidR="00CC7514" w14:paraId="7144677F"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120" w:type="dxa"/>
              <w:bottom w:w="80" w:type="dxa"/>
              <w:right w:w="100" w:type="dxa"/>
            </w:tcMar>
          </w:tcPr>
          <w:p w14:paraId="6A6E4293" w14:textId="77777777" w:rsidR="00CC7514" w:rsidRDefault="00000000">
            <w:pPr>
              <w:spacing w:after="30"/>
            </w:pPr>
            <w:r>
              <w:rPr>
                <w:b/>
                <w:bCs/>
                <w:color w:val="0D2137"/>
                <w:sz w:val="19"/>
                <w:szCs w:val="19"/>
              </w:rPr>
              <w:t>Defined entry conditions per zone</w:t>
            </w:r>
          </w:p>
        </w:tc>
        <w:tc>
          <w:tcPr>
            <w:tcW w:w="10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22FCFB76" w14:textId="77777777" w:rsidR="00CC7514" w:rsidRDefault="00000000">
            <w:pPr>
              <w:jc w:val="center"/>
            </w:pPr>
            <w:r>
              <w:rPr>
                <w:b/>
                <w:bCs/>
                <w:color w:val="B45309"/>
                <w:sz w:val="18"/>
                <w:szCs w:val="18"/>
              </w:rPr>
              <w:t>×5</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5E47B395" w14:textId="77777777" w:rsidR="00CC7514" w:rsidRDefault="00000000">
            <w:pPr>
              <w:jc w:val="center"/>
            </w:pPr>
            <w:r>
              <w:rPr>
                <w:color w:val="374151"/>
                <w:sz w:val="15"/>
                <w:szCs w:val="15"/>
              </w:rPr>
              <w:t>No entry conditions — cases admitted without criteria</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7FC15389" w14:textId="77777777" w:rsidR="00CC7514" w:rsidRDefault="00000000">
            <w:pPr>
              <w:jc w:val="center"/>
            </w:pPr>
            <w:r>
              <w:rPr>
                <w:color w:val="374151"/>
                <w:sz w:val="15"/>
                <w:szCs w:val="15"/>
              </w:rPr>
              <w:t>Informal entry criteria exist but are not enforced</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36AEAB00" w14:textId="77777777" w:rsidR="00CC7514" w:rsidRDefault="00000000">
            <w:pPr>
              <w:jc w:val="center"/>
            </w:pPr>
            <w:r>
              <w:rPr>
                <w:color w:val="374151"/>
                <w:sz w:val="15"/>
                <w:szCs w:val="15"/>
              </w:rPr>
              <w:t>Entry conditions documented and generally observed</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65E2FF22" w14:textId="77777777" w:rsidR="00CC7514" w:rsidRDefault="00000000">
            <w:pPr>
              <w:jc w:val="center"/>
            </w:pPr>
            <w:r>
              <w:rPr>
                <w:color w:val="374151"/>
                <w:sz w:val="15"/>
                <w:szCs w:val="15"/>
              </w:rPr>
              <w:t>Entry conditions formal, enforced, and auditable at every boundary</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506296EA" w14:textId="77777777" w:rsidR="00CC7514" w:rsidRDefault="00CC7514"/>
        </w:tc>
      </w:tr>
      <w:tr w:rsidR="00CC7514" w14:paraId="73B25345"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00" w:type="dxa"/>
            </w:tcMar>
          </w:tcPr>
          <w:p w14:paraId="684360D4" w14:textId="77777777" w:rsidR="00CC7514" w:rsidRDefault="00000000">
            <w:pPr>
              <w:spacing w:after="30"/>
            </w:pPr>
            <w:r>
              <w:rPr>
                <w:b/>
                <w:bCs/>
                <w:color w:val="0D2137"/>
                <w:sz w:val="19"/>
                <w:szCs w:val="19"/>
              </w:rPr>
              <w:t>Defined exit conditions per zone</w:t>
            </w:r>
          </w:p>
        </w:tc>
        <w:tc>
          <w:tcPr>
            <w:tcW w:w="1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80" w:type="dxa"/>
              <w:bottom w:w="80" w:type="dxa"/>
              <w:right w:w="80" w:type="dxa"/>
            </w:tcMar>
          </w:tcPr>
          <w:p w14:paraId="7BE6A238" w14:textId="77777777" w:rsidR="00CC7514" w:rsidRDefault="00000000">
            <w:pPr>
              <w:jc w:val="center"/>
            </w:pPr>
            <w:r>
              <w:rPr>
                <w:b/>
                <w:bCs/>
                <w:color w:val="B45309"/>
                <w:sz w:val="18"/>
                <w:szCs w:val="18"/>
              </w:rPr>
              <w:t>×4</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59EA2C30" w14:textId="77777777" w:rsidR="00CC7514" w:rsidRDefault="00000000">
            <w:pPr>
              <w:jc w:val="center"/>
            </w:pPr>
            <w:r>
              <w:rPr>
                <w:color w:val="374151"/>
                <w:sz w:val="15"/>
                <w:szCs w:val="15"/>
              </w:rPr>
              <w:t>No exit conditions — zones end when someone decides they do</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07AE125F" w14:textId="77777777" w:rsidR="00CC7514" w:rsidRDefault="00000000">
            <w:pPr>
              <w:jc w:val="center"/>
            </w:pPr>
            <w:r>
              <w:rPr>
                <w:color w:val="374151"/>
                <w:sz w:val="15"/>
                <w:szCs w:val="15"/>
              </w:rPr>
              <w:t>Rough completion criteria exist informally</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3C036D53" w14:textId="77777777" w:rsidR="00CC7514" w:rsidRDefault="00000000">
            <w:pPr>
              <w:jc w:val="center"/>
            </w:pPr>
            <w:r>
              <w:rPr>
                <w:color w:val="374151"/>
                <w:sz w:val="15"/>
                <w:szCs w:val="15"/>
              </w:rPr>
              <w:t>Exit conditions documented; completion is observable</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6A85E670" w14:textId="77777777" w:rsidR="00CC7514" w:rsidRDefault="00000000">
            <w:pPr>
              <w:jc w:val="center"/>
            </w:pPr>
            <w:r>
              <w:rPr>
                <w:color w:val="374151"/>
                <w:sz w:val="15"/>
                <w:szCs w:val="15"/>
              </w:rPr>
              <w:t>Exit conditions explicit, binary, and linked to next zone's entry stakes</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2DE635FF" w14:textId="77777777" w:rsidR="00CC7514" w:rsidRDefault="00CC7514"/>
        </w:tc>
      </w:tr>
      <w:tr w:rsidR="00CC7514" w14:paraId="7E37FDC1"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120" w:type="dxa"/>
              <w:bottom w:w="80" w:type="dxa"/>
              <w:right w:w="100" w:type="dxa"/>
            </w:tcMar>
          </w:tcPr>
          <w:p w14:paraId="1B3183E4" w14:textId="77777777" w:rsidR="00CC7514" w:rsidRDefault="00000000">
            <w:pPr>
              <w:spacing w:after="30"/>
            </w:pPr>
            <w:r>
              <w:rPr>
                <w:b/>
                <w:bCs/>
                <w:color w:val="0D2137"/>
                <w:sz w:val="19"/>
                <w:szCs w:val="19"/>
              </w:rPr>
              <w:t>Identifiable zone goal</w:t>
            </w:r>
          </w:p>
        </w:tc>
        <w:tc>
          <w:tcPr>
            <w:tcW w:w="10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559D8530" w14:textId="77777777" w:rsidR="00CC7514" w:rsidRDefault="00000000">
            <w:pPr>
              <w:jc w:val="center"/>
            </w:pPr>
            <w:r>
              <w:rPr>
                <w:b/>
                <w:bCs/>
                <w:color w:val="B45309"/>
                <w:sz w:val="18"/>
                <w:szCs w:val="18"/>
              </w:rPr>
              <w:t>×3</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170B6798" w14:textId="77777777" w:rsidR="00CC7514" w:rsidRDefault="00000000">
            <w:pPr>
              <w:jc w:val="center"/>
            </w:pPr>
            <w:r>
              <w:rPr>
                <w:color w:val="374151"/>
                <w:sz w:val="15"/>
                <w:szCs w:val="15"/>
              </w:rPr>
              <w:t>No clear purpose distinguishing this zone from adjacent zones</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2B91EDF0" w14:textId="77777777" w:rsidR="00CC7514" w:rsidRDefault="00000000">
            <w:pPr>
              <w:jc w:val="center"/>
            </w:pPr>
            <w:r>
              <w:rPr>
                <w:color w:val="374151"/>
                <w:sz w:val="15"/>
                <w:szCs w:val="15"/>
              </w:rPr>
              <w:t>Implied purpose but not formally articulated</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1861E11D" w14:textId="77777777" w:rsidR="00CC7514" w:rsidRDefault="00000000">
            <w:pPr>
              <w:jc w:val="center"/>
            </w:pPr>
            <w:r>
              <w:rPr>
                <w:color w:val="374151"/>
                <w:sz w:val="15"/>
                <w:szCs w:val="15"/>
              </w:rPr>
              <w:t>Zone goal stated and understood by operators</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7E05CF9A" w14:textId="77777777" w:rsidR="00CC7514" w:rsidRDefault="00000000">
            <w:pPr>
              <w:jc w:val="center"/>
            </w:pPr>
            <w:r>
              <w:rPr>
                <w:color w:val="374151"/>
                <w:sz w:val="15"/>
                <w:szCs w:val="15"/>
              </w:rPr>
              <w:t>Zone goal explicit, measurable, and used to define boundary conditions</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3FFA3E62" w14:textId="77777777" w:rsidR="00CC7514" w:rsidRDefault="00CC7514"/>
        </w:tc>
      </w:tr>
      <w:tr w:rsidR="00CC7514" w14:paraId="2A227A84"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00" w:type="dxa"/>
            </w:tcMar>
          </w:tcPr>
          <w:p w14:paraId="450ED23E" w14:textId="77777777" w:rsidR="00CC7514" w:rsidRDefault="00000000">
            <w:pPr>
              <w:spacing w:after="30"/>
            </w:pPr>
            <w:r>
              <w:rPr>
                <w:b/>
                <w:bCs/>
                <w:color w:val="0D2137"/>
                <w:sz w:val="19"/>
                <w:szCs w:val="19"/>
              </w:rPr>
              <w:t>Process error path exists or can be designed</w:t>
            </w:r>
          </w:p>
        </w:tc>
        <w:tc>
          <w:tcPr>
            <w:tcW w:w="1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80" w:type="dxa"/>
              <w:bottom w:w="80" w:type="dxa"/>
              <w:right w:w="80" w:type="dxa"/>
            </w:tcMar>
          </w:tcPr>
          <w:p w14:paraId="64A47B8C" w14:textId="77777777" w:rsidR="00CC7514" w:rsidRDefault="00000000">
            <w:pPr>
              <w:jc w:val="center"/>
            </w:pPr>
            <w:r>
              <w:rPr>
                <w:b/>
                <w:bCs/>
                <w:color w:val="B45309"/>
                <w:sz w:val="18"/>
                <w:szCs w:val="18"/>
              </w:rPr>
              <w:t>×3</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1524A0B3" w14:textId="77777777" w:rsidR="00CC7514" w:rsidRDefault="00000000">
            <w:pPr>
              <w:jc w:val="center"/>
            </w:pPr>
            <w:r>
              <w:rPr>
                <w:color w:val="374151"/>
                <w:sz w:val="15"/>
                <w:szCs w:val="15"/>
              </w:rPr>
              <w:t>Errors are undocumented — cases disappear or stall silently</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3935A9A7" w14:textId="77777777" w:rsidR="00CC7514" w:rsidRDefault="00000000">
            <w:pPr>
              <w:jc w:val="center"/>
            </w:pPr>
            <w:r>
              <w:rPr>
                <w:color w:val="374151"/>
                <w:sz w:val="15"/>
                <w:szCs w:val="15"/>
              </w:rPr>
              <w:t>Error handling exists informally; no defined error zone</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5ABA2F1A" w14:textId="77777777" w:rsidR="00CC7514" w:rsidRDefault="00000000">
            <w:pPr>
              <w:jc w:val="center"/>
            </w:pPr>
            <w:r>
              <w:rPr>
                <w:color w:val="374151"/>
                <w:sz w:val="15"/>
                <w:szCs w:val="15"/>
              </w:rPr>
              <w:t>Error conditions are recognised and routed, even if informally</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33ADE491" w14:textId="77777777" w:rsidR="00CC7514" w:rsidRDefault="00000000">
            <w:pPr>
              <w:jc w:val="center"/>
            </w:pPr>
            <w:r>
              <w:rPr>
                <w:color w:val="374151"/>
                <w:sz w:val="15"/>
                <w:szCs w:val="15"/>
              </w:rPr>
              <w:t>Formal error zone(s) defined with entry conditions and resolution paths</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31266CA3" w14:textId="77777777" w:rsidR="00CC7514" w:rsidRDefault="00CC7514"/>
        </w:tc>
      </w:tr>
      <w:tr w:rsidR="00CC7514" w14:paraId="57C5A154" w14:textId="77777777">
        <w:tblPrEx>
          <w:tblCellMar>
            <w:top w:w="0" w:type="dxa"/>
            <w:bottom w:w="0" w:type="dxa"/>
          </w:tblCellMar>
        </w:tblPrEx>
        <w:tc>
          <w:tcPr>
            <w:tcW w:w="0" w:type="auto"/>
            <w:gridSpan w:val="7"/>
            <w:tcBorders>
              <w:top w:val="single" w:sz="1" w:space="0" w:color="D1D5DB"/>
              <w:left w:val="single" w:sz="1" w:space="0" w:color="D1D5DB"/>
              <w:bottom w:val="single" w:sz="1" w:space="0" w:color="B45309"/>
              <w:right w:val="single" w:sz="1" w:space="0" w:color="D1D5DB"/>
            </w:tcBorders>
            <w:shd w:val="clear" w:color="auto" w:fill="FEF3C7"/>
            <w:tcMar>
              <w:top w:w="70" w:type="dxa"/>
              <w:left w:w="100" w:type="dxa"/>
              <w:bottom w:w="60" w:type="dxa"/>
              <w:right w:w="80" w:type="dxa"/>
            </w:tcMar>
          </w:tcPr>
          <w:p w14:paraId="07C2D081" w14:textId="77777777" w:rsidR="00CC7514" w:rsidRDefault="00000000">
            <w:proofErr w:type="gramStart"/>
            <w:r>
              <w:rPr>
                <w:b/>
                <w:bCs/>
                <w:color w:val="B45309"/>
                <w:sz w:val="18"/>
                <w:szCs w:val="18"/>
              </w:rPr>
              <w:t>B  —</w:t>
            </w:r>
            <w:proofErr w:type="gramEnd"/>
            <w:r>
              <w:rPr>
                <w:b/>
                <w:bCs/>
                <w:color w:val="B45309"/>
                <w:sz w:val="18"/>
                <w:szCs w:val="18"/>
              </w:rPr>
              <w:t xml:space="preserve">  Policy Layer Density   |   Is there a meaningful, separable policy layer to govern zone operations?</w:t>
            </w:r>
          </w:p>
        </w:tc>
      </w:tr>
      <w:tr w:rsidR="00CC7514" w14:paraId="44A3B2E1"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120" w:type="dxa"/>
              <w:bottom w:w="80" w:type="dxa"/>
              <w:right w:w="100" w:type="dxa"/>
            </w:tcMar>
          </w:tcPr>
          <w:p w14:paraId="53CB03C2" w14:textId="77777777" w:rsidR="00CC7514" w:rsidRDefault="00000000">
            <w:pPr>
              <w:spacing w:after="30"/>
            </w:pPr>
            <w:r>
              <w:rPr>
                <w:b/>
                <w:bCs/>
                <w:color w:val="0D2137"/>
                <w:sz w:val="19"/>
                <w:szCs w:val="19"/>
              </w:rPr>
              <w:t>Governing policy instruments exist</w:t>
            </w:r>
          </w:p>
        </w:tc>
        <w:tc>
          <w:tcPr>
            <w:tcW w:w="10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2E5C0710" w14:textId="77777777" w:rsidR="00CC7514" w:rsidRDefault="00000000">
            <w:pPr>
              <w:jc w:val="center"/>
            </w:pPr>
            <w:r>
              <w:rPr>
                <w:b/>
                <w:bCs/>
                <w:color w:val="B45309"/>
                <w:sz w:val="18"/>
                <w:szCs w:val="18"/>
              </w:rPr>
              <w:t>×5</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1B87C5A2" w14:textId="77777777" w:rsidR="00CC7514" w:rsidRDefault="00000000">
            <w:pPr>
              <w:jc w:val="center"/>
            </w:pPr>
            <w:r>
              <w:rPr>
                <w:color w:val="374151"/>
                <w:sz w:val="15"/>
                <w:szCs w:val="15"/>
              </w:rPr>
              <w:t>No policies, regulations, or compliance obligations apply</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42B5A301" w14:textId="77777777" w:rsidR="00CC7514" w:rsidRDefault="00000000">
            <w:pPr>
              <w:jc w:val="center"/>
            </w:pPr>
            <w:r>
              <w:rPr>
                <w:color w:val="374151"/>
                <w:sz w:val="15"/>
                <w:szCs w:val="15"/>
              </w:rPr>
              <w:t>Informal guidelines only — no formal governing instruments</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4D3B3E52" w14:textId="77777777" w:rsidR="00CC7514" w:rsidRDefault="00000000">
            <w:pPr>
              <w:jc w:val="center"/>
            </w:pPr>
            <w:r>
              <w:rPr>
                <w:color w:val="374151"/>
                <w:sz w:val="15"/>
                <w:szCs w:val="15"/>
              </w:rPr>
              <w:t>One or more formal policies govern zone operations</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74D2AB46" w14:textId="77777777" w:rsidR="00CC7514" w:rsidRDefault="00000000">
            <w:pPr>
              <w:jc w:val="center"/>
            </w:pPr>
            <w:r>
              <w:rPr>
                <w:color w:val="374151"/>
                <w:sz w:val="15"/>
                <w:szCs w:val="15"/>
              </w:rPr>
              <w:t>Multiple layered instruments (legislation, regulation, policy, procedure) with clear hierarchy</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51019450" w14:textId="77777777" w:rsidR="00CC7514" w:rsidRDefault="00CC7514"/>
        </w:tc>
      </w:tr>
      <w:tr w:rsidR="00CC7514" w14:paraId="6B1336E0"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00" w:type="dxa"/>
            </w:tcMar>
          </w:tcPr>
          <w:p w14:paraId="57123834" w14:textId="77777777" w:rsidR="00CC7514" w:rsidRDefault="00000000">
            <w:pPr>
              <w:spacing w:after="30"/>
            </w:pPr>
            <w:r>
              <w:rPr>
                <w:b/>
                <w:bCs/>
                <w:color w:val="0D2137"/>
                <w:sz w:val="19"/>
                <w:szCs w:val="19"/>
              </w:rPr>
              <w:t>Policy is separable from operations</w:t>
            </w:r>
          </w:p>
        </w:tc>
        <w:tc>
          <w:tcPr>
            <w:tcW w:w="1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80" w:type="dxa"/>
              <w:bottom w:w="80" w:type="dxa"/>
              <w:right w:w="80" w:type="dxa"/>
            </w:tcMar>
          </w:tcPr>
          <w:p w14:paraId="71031441" w14:textId="77777777" w:rsidR="00CC7514" w:rsidRDefault="00000000">
            <w:pPr>
              <w:jc w:val="center"/>
            </w:pPr>
            <w:r>
              <w:rPr>
                <w:b/>
                <w:bCs/>
                <w:color w:val="B45309"/>
                <w:sz w:val="18"/>
                <w:szCs w:val="18"/>
              </w:rPr>
              <w:t>×4</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1E2CFB00" w14:textId="77777777" w:rsidR="00CC7514" w:rsidRDefault="00000000">
            <w:pPr>
              <w:jc w:val="center"/>
            </w:pPr>
            <w:r>
              <w:rPr>
                <w:color w:val="374151"/>
                <w:sz w:val="15"/>
                <w:szCs w:val="15"/>
              </w:rPr>
              <w:t>Policy and operations are fused — cannot be separated in practice</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3EA5EC5E" w14:textId="77777777" w:rsidR="00CC7514" w:rsidRDefault="00000000">
            <w:pPr>
              <w:jc w:val="center"/>
            </w:pPr>
            <w:r>
              <w:rPr>
                <w:color w:val="374151"/>
                <w:sz w:val="15"/>
                <w:szCs w:val="15"/>
              </w:rPr>
              <w:t>Partial separation possible with effort; significant blurring remains</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7E69A2EB" w14:textId="77777777" w:rsidR="00CC7514" w:rsidRDefault="00000000">
            <w:pPr>
              <w:jc w:val="center"/>
            </w:pPr>
            <w:r>
              <w:rPr>
                <w:color w:val="374151"/>
                <w:sz w:val="15"/>
                <w:szCs w:val="15"/>
              </w:rPr>
              <w:t>Policy can be articulated independently of how operations execute it</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359C0A3B" w14:textId="77777777" w:rsidR="00CC7514" w:rsidRDefault="00000000">
            <w:pPr>
              <w:jc w:val="center"/>
            </w:pPr>
            <w:r>
              <w:rPr>
                <w:color w:val="374151"/>
                <w:sz w:val="15"/>
                <w:szCs w:val="15"/>
              </w:rPr>
              <w:t>Clear distinction between 'what must happen' (policy) and 'how it happens' (</w:t>
            </w:r>
            <w:proofErr w:type="spellStart"/>
            <w:r>
              <w:rPr>
                <w:color w:val="374151"/>
                <w:sz w:val="15"/>
                <w:szCs w:val="15"/>
              </w:rPr>
              <w:t>conops</w:t>
            </w:r>
            <w:proofErr w:type="spellEnd"/>
            <w:r>
              <w:rPr>
                <w:color w:val="374151"/>
                <w:sz w:val="15"/>
                <w:szCs w:val="15"/>
              </w:rPr>
              <w:t>)</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3E4152D3" w14:textId="77777777" w:rsidR="00CC7514" w:rsidRDefault="00CC7514"/>
        </w:tc>
      </w:tr>
      <w:tr w:rsidR="00CC7514" w14:paraId="2D273F8D"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120" w:type="dxa"/>
              <w:bottom w:w="80" w:type="dxa"/>
              <w:right w:w="100" w:type="dxa"/>
            </w:tcMar>
          </w:tcPr>
          <w:p w14:paraId="5B2D217D" w14:textId="77777777" w:rsidR="00CC7514" w:rsidRDefault="00000000">
            <w:pPr>
              <w:spacing w:after="30"/>
            </w:pPr>
            <w:r>
              <w:rPr>
                <w:b/>
                <w:bCs/>
                <w:color w:val="0D2137"/>
                <w:sz w:val="19"/>
                <w:szCs w:val="19"/>
              </w:rPr>
              <w:t>Policy breach is measurable and consequential</w:t>
            </w:r>
          </w:p>
        </w:tc>
        <w:tc>
          <w:tcPr>
            <w:tcW w:w="10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6D6AAAD3" w14:textId="77777777" w:rsidR="00CC7514" w:rsidRDefault="00000000">
            <w:pPr>
              <w:jc w:val="center"/>
            </w:pPr>
            <w:r>
              <w:rPr>
                <w:b/>
                <w:bCs/>
                <w:color w:val="B45309"/>
                <w:sz w:val="18"/>
                <w:szCs w:val="18"/>
              </w:rPr>
              <w:t>×4</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30284881" w14:textId="77777777" w:rsidR="00CC7514" w:rsidRDefault="00000000">
            <w:pPr>
              <w:jc w:val="center"/>
            </w:pPr>
            <w:r>
              <w:rPr>
                <w:color w:val="374151"/>
                <w:sz w:val="15"/>
                <w:szCs w:val="15"/>
              </w:rPr>
              <w:t>Policy breach is either unmeasurable or has no consequence</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14724D6A" w14:textId="77777777" w:rsidR="00CC7514" w:rsidRDefault="00000000">
            <w:pPr>
              <w:jc w:val="center"/>
            </w:pPr>
            <w:r>
              <w:rPr>
                <w:color w:val="374151"/>
                <w:sz w:val="15"/>
                <w:szCs w:val="15"/>
              </w:rPr>
              <w:t>Breaches are theoretically consequential but rarely identified or tracked</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0010991A" w14:textId="77777777" w:rsidR="00CC7514" w:rsidRDefault="00000000">
            <w:pPr>
              <w:jc w:val="center"/>
            </w:pPr>
            <w:r>
              <w:rPr>
                <w:color w:val="374151"/>
                <w:sz w:val="15"/>
                <w:szCs w:val="15"/>
              </w:rPr>
              <w:t>Breaches are tracked; consequences are defined if not always enforced</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17CE39C3" w14:textId="77777777" w:rsidR="00CC7514" w:rsidRDefault="00000000">
            <w:pPr>
              <w:jc w:val="center"/>
            </w:pPr>
            <w:r>
              <w:rPr>
                <w:color w:val="374151"/>
                <w:sz w:val="15"/>
                <w:szCs w:val="15"/>
              </w:rPr>
              <w:t>Breaches trigger formal responses; reporting to regulators or governance bodies required</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5D8AB3F9" w14:textId="77777777" w:rsidR="00CC7514" w:rsidRDefault="00CC7514"/>
        </w:tc>
      </w:tr>
      <w:tr w:rsidR="00CC7514" w14:paraId="2EE7E89A"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00" w:type="dxa"/>
            </w:tcMar>
          </w:tcPr>
          <w:p w14:paraId="55BDE1A8" w14:textId="77777777" w:rsidR="00CC7514" w:rsidRDefault="00000000">
            <w:pPr>
              <w:spacing w:after="30"/>
            </w:pPr>
            <w:r>
              <w:rPr>
                <w:b/>
                <w:bCs/>
                <w:color w:val="0D2137"/>
                <w:sz w:val="19"/>
                <w:szCs w:val="19"/>
              </w:rPr>
              <w:lastRenderedPageBreak/>
              <w:t>Compliance reporting obligation exists</w:t>
            </w:r>
          </w:p>
        </w:tc>
        <w:tc>
          <w:tcPr>
            <w:tcW w:w="1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80" w:type="dxa"/>
              <w:bottom w:w="80" w:type="dxa"/>
              <w:right w:w="80" w:type="dxa"/>
            </w:tcMar>
          </w:tcPr>
          <w:p w14:paraId="7086D746" w14:textId="77777777" w:rsidR="00CC7514" w:rsidRDefault="00000000">
            <w:pPr>
              <w:jc w:val="center"/>
            </w:pPr>
            <w:r>
              <w:rPr>
                <w:b/>
                <w:bCs/>
                <w:color w:val="B45309"/>
                <w:sz w:val="18"/>
                <w:szCs w:val="18"/>
              </w:rPr>
              <w:t>×3</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7FFD922F" w14:textId="77777777" w:rsidR="00CC7514" w:rsidRDefault="00000000">
            <w:pPr>
              <w:jc w:val="center"/>
            </w:pPr>
            <w:r>
              <w:rPr>
                <w:color w:val="374151"/>
                <w:sz w:val="15"/>
                <w:szCs w:val="15"/>
              </w:rPr>
              <w:t>No external reporting obligations of any kind</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3DDE1BB9" w14:textId="77777777" w:rsidR="00CC7514" w:rsidRDefault="00000000">
            <w:pPr>
              <w:jc w:val="center"/>
            </w:pPr>
            <w:r>
              <w:rPr>
                <w:color w:val="374151"/>
                <w:sz w:val="15"/>
                <w:szCs w:val="15"/>
              </w:rPr>
              <w:t>Internal reporting only; no external accountability</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0CDA4B6C" w14:textId="77777777" w:rsidR="00CC7514" w:rsidRDefault="00000000">
            <w:pPr>
              <w:jc w:val="center"/>
            </w:pPr>
            <w:r>
              <w:rPr>
                <w:color w:val="374151"/>
                <w:sz w:val="15"/>
                <w:szCs w:val="15"/>
              </w:rPr>
              <w:t>External reporting required periodically (annual, quarterly)</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2D8C1F17" w14:textId="77777777" w:rsidR="00CC7514" w:rsidRDefault="00000000">
            <w:pPr>
              <w:jc w:val="center"/>
            </w:pPr>
            <w:r>
              <w:rPr>
                <w:color w:val="374151"/>
                <w:sz w:val="15"/>
                <w:szCs w:val="15"/>
              </w:rPr>
              <w:t>Continuous or real-time compliance monitoring required by regulator or contract</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73917950" w14:textId="77777777" w:rsidR="00CC7514" w:rsidRDefault="00CC7514"/>
        </w:tc>
      </w:tr>
      <w:tr w:rsidR="00CC7514" w14:paraId="6DE7E67C"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120" w:type="dxa"/>
              <w:bottom w:w="80" w:type="dxa"/>
              <w:right w:w="100" w:type="dxa"/>
            </w:tcMar>
          </w:tcPr>
          <w:p w14:paraId="11D31D36" w14:textId="77777777" w:rsidR="00CC7514" w:rsidRDefault="00000000">
            <w:pPr>
              <w:spacing w:after="30"/>
            </w:pPr>
            <w:r>
              <w:rPr>
                <w:b/>
                <w:bCs/>
                <w:color w:val="0D2137"/>
                <w:sz w:val="19"/>
                <w:szCs w:val="19"/>
              </w:rPr>
              <w:t>Policy ownership is clear</w:t>
            </w:r>
          </w:p>
        </w:tc>
        <w:tc>
          <w:tcPr>
            <w:tcW w:w="10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6B145C1C" w14:textId="77777777" w:rsidR="00CC7514" w:rsidRDefault="00000000">
            <w:pPr>
              <w:jc w:val="center"/>
            </w:pPr>
            <w:r>
              <w:rPr>
                <w:b/>
                <w:bCs/>
                <w:color w:val="B45309"/>
                <w:sz w:val="18"/>
                <w:szCs w:val="18"/>
              </w:rPr>
              <w:t>×2</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071E808E" w14:textId="77777777" w:rsidR="00CC7514" w:rsidRDefault="00000000">
            <w:pPr>
              <w:jc w:val="center"/>
            </w:pPr>
            <w:r>
              <w:rPr>
                <w:color w:val="374151"/>
                <w:sz w:val="15"/>
                <w:szCs w:val="15"/>
              </w:rPr>
              <w:t>No identifiable policy owner — governance is diffuse</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38368E18" w14:textId="77777777" w:rsidR="00CC7514" w:rsidRDefault="00000000">
            <w:pPr>
              <w:jc w:val="center"/>
            </w:pPr>
            <w:r>
              <w:rPr>
                <w:color w:val="374151"/>
                <w:sz w:val="15"/>
                <w:szCs w:val="15"/>
              </w:rPr>
              <w:t>Nominal owner exists but has no enforcement authority</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1FF605A3" w14:textId="77777777" w:rsidR="00CC7514" w:rsidRDefault="00000000">
            <w:pPr>
              <w:jc w:val="center"/>
            </w:pPr>
            <w:r>
              <w:rPr>
                <w:color w:val="374151"/>
                <w:sz w:val="15"/>
                <w:szCs w:val="15"/>
              </w:rPr>
              <w:t>Policy owner identified with some enforcement capability</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3C430CAA" w14:textId="77777777" w:rsidR="00CC7514" w:rsidRDefault="00000000">
            <w:pPr>
              <w:jc w:val="center"/>
            </w:pPr>
            <w:r>
              <w:rPr>
                <w:color w:val="374151"/>
                <w:sz w:val="15"/>
                <w:szCs w:val="15"/>
              </w:rPr>
              <w:t>Policy owner with formal authority, approval chain, and review cycle</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7349B66A" w14:textId="77777777" w:rsidR="00CC7514" w:rsidRDefault="00CC7514"/>
        </w:tc>
      </w:tr>
      <w:tr w:rsidR="00CC7514" w14:paraId="3B0B93FD" w14:textId="77777777">
        <w:tblPrEx>
          <w:tblCellMar>
            <w:top w:w="0" w:type="dxa"/>
            <w:bottom w:w="0" w:type="dxa"/>
          </w:tblCellMar>
        </w:tblPrEx>
        <w:tc>
          <w:tcPr>
            <w:tcW w:w="0" w:type="auto"/>
            <w:gridSpan w:val="7"/>
            <w:tcBorders>
              <w:top w:val="single" w:sz="1" w:space="0" w:color="D1D5DB"/>
              <w:left w:val="single" w:sz="1" w:space="0" w:color="D1D5DB"/>
              <w:bottom w:val="single" w:sz="1" w:space="0" w:color="B45309"/>
              <w:right w:val="single" w:sz="1" w:space="0" w:color="D1D5DB"/>
            </w:tcBorders>
            <w:shd w:val="clear" w:color="auto" w:fill="FEF3C7"/>
            <w:tcMar>
              <w:top w:w="70" w:type="dxa"/>
              <w:left w:w="100" w:type="dxa"/>
              <w:bottom w:w="60" w:type="dxa"/>
              <w:right w:w="80" w:type="dxa"/>
            </w:tcMar>
          </w:tcPr>
          <w:p w14:paraId="74820520" w14:textId="77777777" w:rsidR="00CC7514" w:rsidRDefault="00000000">
            <w:proofErr w:type="gramStart"/>
            <w:r>
              <w:rPr>
                <w:b/>
                <w:bCs/>
                <w:color w:val="B45309"/>
                <w:sz w:val="18"/>
                <w:szCs w:val="18"/>
              </w:rPr>
              <w:t>C  —</w:t>
            </w:r>
            <w:proofErr w:type="gramEnd"/>
            <w:r>
              <w:rPr>
                <w:b/>
                <w:bCs/>
                <w:color w:val="B45309"/>
                <w:sz w:val="18"/>
                <w:szCs w:val="18"/>
              </w:rPr>
              <w:t xml:space="preserve">  Edge AI Integration Fit   |   Can an edge AI model produce structured, auditable outputs that enter the zone model?</w:t>
            </w:r>
          </w:p>
        </w:tc>
      </w:tr>
      <w:tr w:rsidR="00CC7514" w14:paraId="1E9D0689"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00" w:type="dxa"/>
            </w:tcMar>
          </w:tcPr>
          <w:p w14:paraId="46391206" w14:textId="77777777" w:rsidR="00CC7514" w:rsidRDefault="00000000">
            <w:pPr>
              <w:spacing w:after="30"/>
            </w:pPr>
            <w:r>
              <w:rPr>
                <w:b/>
                <w:bCs/>
                <w:color w:val="0D2137"/>
                <w:sz w:val="19"/>
                <w:szCs w:val="19"/>
              </w:rPr>
              <w:t>AI output can be structured as a zone input</w:t>
            </w:r>
          </w:p>
        </w:tc>
        <w:tc>
          <w:tcPr>
            <w:tcW w:w="1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80" w:type="dxa"/>
              <w:bottom w:w="80" w:type="dxa"/>
              <w:right w:w="80" w:type="dxa"/>
            </w:tcMar>
          </w:tcPr>
          <w:p w14:paraId="1675441A" w14:textId="77777777" w:rsidR="00CC7514" w:rsidRDefault="00000000">
            <w:pPr>
              <w:jc w:val="center"/>
            </w:pPr>
            <w:r>
              <w:rPr>
                <w:b/>
                <w:bCs/>
                <w:color w:val="B45309"/>
                <w:sz w:val="18"/>
                <w:szCs w:val="18"/>
              </w:rPr>
              <w:t>×5</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2BC25DB5" w14:textId="77777777" w:rsidR="00CC7514" w:rsidRDefault="00000000">
            <w:pPr>
              <w:jc w:val="center"/>
            </w:pPr>
            <w:r>
              <w:rPr>
                <w:color w:val="374151"/>
                <w:sz w:val="15"/>
                <w:szCs w:val="15"/>
              </w:rPr>
              <w:t>AI output is unstructured or narrative — cannot be translated into a condition signal</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5A91AE70" w14:textId="77777777" w:rsidR="00CC7514" w:rsidRDefault="00000000">
            <w:pPr>
              <w:jc w:val="center"/>
            </w:pPr>
            <w:r>
              <w:rPr>
                <w:color w:val="374151"/>
                <w:sz w:val="15"/>
                <w:szCs w:val="15"/>
              </w:rPr>
              <w:t>AI output is partially structured; significant transformation required</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21DDD5AE" w14:textId="77777777" w:rsidR="00CC7514" w:rsidRDefault="00000000">
            <w:pPr>
              <w:jc w:val="center"/>
            </w:pPr>
            <w:r>
              <w:rPr>
                <w:color w:val="374151"/>
                <w:sz w:val="15"/>
                <w:szCs w:val="15"/>
              </w:rPr>
              <w:t>AI output can be rendered as a scored or binary signal with defined thresholds</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565B49A1" w14:textId="77777777" w:rsidR="00CC7514" w:rsidRDefault="00000000">
            <w:pPr>
              <w:jc w:val="center"/>
            </w:pPr>
            <w:r>
              <w:rPr>
                <w:color w:val="374151"/>
                <w:sz w:val="15"/>
                <w:szCs w:val="15"/>
              </w:rPr>
              <w:t>AI output maps directly to an entry condition, policy check, or KPI input</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07248207" w14:textId="77777777" w:rsidR="00CC7514" w:rsidRDefault="00CC7514"/>
        </w:tc>
      </w:tr>
      <w:tr w:rsidR="00CC7514" w14:paraId="0D0F21CF"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120" w:type="dxa"/>
              <w:bottom w:w="80" w:type="dxa"/>
              <w:right w:w="100" w:type="dxa"/>
            </w:tcMar>
          </w:tcPr>
          <w:p w14:paraId="09106DE5" w14:textId="77777777" w:rsidR="00CC7514" w:rsidRDefault="00000000">
            <w:pPr>
              <w:spacing w:after="30"/>
            </w:pPr>
            <w:r>
              <w:rPr>
                <w:b/>
                <w:bCs/>
                <w:color w:val="0D2137"/>
                <w:sz w:val="19"/>
                <w:szCs w:val="19"/>
              </w:rPr>
              <w:t>Edge deployment is technically viable</w:t>
            </w:r>
          </w:p>
        </w:tc>
        <w:tc>
          <w:tcPr>
            <w:tcW w:w="10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56549F8A" w14:textId="77777777" w:rsidR="00CC7514" w:rsidRDefault="00000000">
            <w:pPr>
              <w:jc w:val="center"/>
            </w:pPr>
            <w:r>
              <w:rPr>
                <w:b/>
                <w:bCs/>
                <w:color w:val="B45309"/>
                <w:sz w:val="18"/>
                <w:szCs w:val="18"/>
              </w:rPr>
              <w:t>×5</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07795790" w14:textId="77777777" w:rsidR="00CC7514" w:rsidRDefault="00000000">
            <w:pPr>
              <w:jc w:val="center"/>
            </w:pPr>
            <w:r>
              <w:rPr>
                <w:color w:val="374151"/>
                <w:sz w:val="15"/>
                <w:szCs w:val="15"/>
              </w:rPr>
              <w:t>Model size, latency, or compute requirements preclude on-device deployment</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5520EE67" w14:textId="77777777" w:rsidR="00CC7514" w:rsidRDefault="00000000">
            <w:pPr>
              <w:jc w:val="center"/>
            </w:pPr>
            <w:r>
              <w:rPr>
                <w:color w:val="374151"/>
                <w:sz w:val="15"/>
                <w:szCs w:val="15"/>
              </w:rPr>
              <w:t>Edge deployment is marginal — requires significant hardware investment</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6B66BD02" w14:textId="77777777" w:rsidR="00CC7514" w:rsidRDefault="00000000">
            <w:pPr>
              <w:jc w:val="center"/>
            </w:pPr>
            <w:r>
              <w:rPr>
                <w:color w:val="374151"/>
                <w:sz w:val="15"/>
                <w:szCs w:val="15"/>
              </w:rPr>
              <w:t>Edge deployment feasible on commercially available hardware with acceptable latency</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5F6DDC87" w14:textId="77777777" w:rsidR="00CC7514" w:rsidRDefault="00000000">
            <w:pPr>
              <w:jc w:val="center"/>
            </w:pPr>
            <w:r>
              <w:rPr>
                <w:color w:val="374151"/>
                <w:sz w:val="15"/>
                <w:szCs w:val="15"/>
              </w:rPr>
              <w:t>Edge deployment is straightforward; proven hardware platform exists for this domain</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14B208FA" w14:textId="77777777" w:rsidR="00CC7514" w:rsidRDefault="00CC7514"/>
        </w:tc>
      </w:tr>
      <w:tr w:rsidR="00CC7514" w14:paraId="1F7F3660"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00" w:type="dxa"/>
            </w:tcMar>
          </w:tcPr>
          <w:p w14:paraId="1890C483" w14:textId="77777777" w:rsidR="00CC7514" w:rsidRDefault="00000000">
            <w:pPr>
              <w:spacing w:after="30"/>
            </w:pPr>
            <w:r>
              <w:rPr>
                <w:b/>
                <w:bCs/>
                <w:color w:val="0D2137"/>
                <w:sz w:val="19"/>
                <w:szCs w:val="19"/>
              </w:rPr>
              <w:t>Data residency / privacy requires edge processing</w:t>
            </w:r>
          </w:p>
        </w:tc>
        <w:tc>
          <w:tcPr>
            <w:tcW w:w="1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80" w:type="dxa"/>
              <w:bottom w:w="80" w:type="dxa"/>
              <w:right w:w="80" w:type="dxa"/>
            </w:tcMar>
          </w:tcPr>
          <w:p w14:paraId="04CFA5EB" w14:textId="77777777" w:rsidR="00CC7514" w:rsidRDefault="00000000">
            <w:pPr>
              <w:jc w:val="center"/>
            </w:pPr>
            <w:r>
              <w:rPr>
                <w:b/>
                <w:bCs/>
                <w:color w:val="B45309"/>
                <w:sz w:val="18"/>
                <w:szCs w:val="18"/>
              </w:rPr>
              <w:t>×4</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2D1CD10F" w14:textId="77777777" w:rsidR="00CC7514" w:rsidRDefault="00000000">
            <w:pPr>
              <w:jc w:val="center"/>
            </w:pPr>
            <w:r>
              <w:rPr>
                <w:color w:val="374151"/>
                <w:sz w:val="15"/>
                <w:szCs w:val="15"/>
              </w:rPr>
              <w:t>No data residency or privacy constraint — cloud processing is fully permissible</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458CF820" w14:textId="77777777" w:rsidR="00CC7514" w:rsidRDefault="00000000">
            <w:pPr>
              <w:jc w:val="center"/>
            </w:pPr>
            <w:r>
              <w:rPr>
                <w:color w:val="374151"/>
                <w:sz w:val="15"/>
                <w:szCs w:val="15"/>
              </w:rPr>
              <w:t>Soft preference for local processing; no hard regulatory requirement</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4C17CEFF" w14:textId="77777777" w:rsidR="00CC7514" w:rsidRDefault="00000000">
            <w:pPr>
              <w:jc w:val="center"/>
            </w:pPr>
            <w:r>
              <w:rPr>
                <w:color w:val="374151"/>
                <w:sz w:val="15"/>
                <w:szCs w:val="15"/>
              </w:rPr>
              <w:t>Regulatory guidance strongly favours or recommends local processing</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486CF1A4" w14:textId="77777777" w:rsidR="00CC7514" w:rsidRDefault="00000000">
            <w:pPr>
              <w:jc w:val="center"/>
            </w:pPr>
            <w:r>
              <w:rPr>
                <w:color w:val="374151"/>
                <w:sz w:val="15"/>
                <w:szCs w:val="15"/>
              </w:rPr>
              <w:t>Hard legal requirement for data to remain at point of capture; cloud transit prohibited</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167EF4BA" w14:textId="77777777" w:rsidR="00CC7514" w:rsidRDefault="00CC7514"/>
        </w:tc>
      </w:tr>
      <w:tr w:rsidR="00CC7514" w14:paraId="4F666EDD"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120" w:type="dxa"/>
              <w:bottom w:w="80" w:type="dxa"/>
              <w:right w:w="100" w:type="dxa"/>
            </w:tcMar>
          </w:tcPr>
          <w:p w14:paraId="6E55BA31" w14:textId="77777777" w:rsidR="00CC7514" w:rsidRDefault="00000000">
            <w:pPr>
              <w:spacing w:after="30"/>
            </w:pPr>
            <w:r>
              <w:rPr>
                <w:b/>
                <w:bCs/>
                <w:color w:val="0D2137"/>
                <w:sz w:val="19"/>
                <w:szCs w:val="19"/>
              </w:rPr>
              <w:t>Human-in-the-loop is legally or operationally required</w:t>
            </w:r>
          </w:p>
        </w:tc>
        <w:tc>
          <w:tcPr>
            <w:tcW w:w="10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69D4E847" w14:textId="77777777" w:rsidR="00CC7514" w:rsidRDefault="00000000">
            <w:pPr>
              <w:jc w:val="center"/>
            </w:pPr>
            <w:r>
              <w:rPr>
                <w:b/>
                <w:bCs/>
                <w:color w:val="B45309"/>
                <w:sz w:val="18"/>
                <w:szCs w:val="18"/>
              </w:rPr>
              <w:t>×4</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27DFDD03" w14:textId="77777777" w:rsidR="00CC7514" w:rsidRDefault="00000000">
            <w:pPr>
              <w:jc w:val="center"/>
            </w:pPr>
            <w:r>
              <w:rPr>
                <w:color w:val="374151"/>
                <w:sz w:val="15"/>
                <w:szCs w:val="15"/>
              </w:rPr>
              <w:t>Fully automated determination is legally permissible and operationally preferred</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522E812C" w14:textId="77777777" w:rsidR="00CC7514" w:rsidRDefault="00000000">
            <w:pPr>
              <w:jc w:val="center"/>
            </w:pPr>
            <w:r>
              <w:rPr>
                <w:color w:val="374151"/>
                <w:sz w:val="15"/>
                <w:szCs w:val="15"/>
              </w:rPr>
              <w:t>Human review optional; automation preferred for speed</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5D1E60F4" w14:textId="77777777" w:rsidR="00CC7514" w:rsidRDefault="00000000">
            <w:pPr>
              <w:jc w:val="center"/>
            </w:pPr>
            <w:r>
              <w:rPr>
                <w:color w:val="374151"/>
                <w:sz w:val="15"/>
                <w:szCs w:val="15"/>
              </w:rPr>
              <w:t>Human sign-off required on AI-flagged cases only</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717A6706" w14:textId="77777777" w:rsidR="00CC7514" w:rsidRDefault="00000000">
            <w:pPr>
              <w:jc w:val="center"/>
            </w:pPr>
            <w:r>
              <w:rPr>
                <w:color w:val="374151"/>
                <w:sz w:val="15"/>
                <w:szCs w:val="15"/>
              </w:rPr>
              <w:t>Human determination required for all consequential decisions; AI informs only</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7FCF5114" w14:textId="77777777" w:rsidR="00CC7514" w:rsidRDefault="00CC7514"/>
        </w:tc>
      </w:tr>
      <w:tr w:rsidR="00CC7514" w14:paraId="5D5EA258"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00" w:type="dxa"/>
            </w:tcMar>
          </w:tcPr>
          <w:p w14:paraId="27B80534" w14:textId="77777777" w:rsidR="00CC7514" w:rsidRDefault="00000000">
            <w:pPr>
              <w:spacing w:after="30"/>
            </w:pPr>
            <w:r>
              <w:rPr>
                <w:b/>
                <w:bCs/>
                <w:color w:val="0D2137"/>
                <w:sz w:val="19"/>
                <w:szCs w:val="19"/>
              </w:rPr>
              <w:t>Model accuracy failure mode is manageable</w:t>
            </w:r>
          </w:p>
        </w:tc>
        <w:tc>
          <w:tcPr>
            <w:tcW w:w="1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80" w:type="dxa"/>
              <w:bottom w:w="80" w:type="dxa"/>
              <w:right w:w="80" w:type="dxa"/>
            </w:tcMar>
          </w:tcPr>
          <w:p w14:paraId="59AC6B77" w14:textId="77777777" w:rsidR="00CC7514" w:rsidRDefault="00000000">
            <w:pPr>
              <w:jc w:val="center"/>
            </w:pPr>
            <w:r>
              <w:rPr>
                <w:b/>
                <w:bCs/>
                <w:color w:val="B45309"/>
                <w:sz w:val="18"/>
                <w:szCs w:val="18"/>
              </w:rPr>
              <w:t>×3</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46A38A53" w14:textId="77777777" w:rsidR="00CC7514" w:rsidRDefault="00000000">
            <w:pPr>
              <w:jc w:val="center"/>
            </w:pPr>
            <w:r>
              <w:rPr>
                <w:color w:val="374151"/>
                <w:sz w:val="15"/>
                <w:szCs w:val="15"/>
              </w:rPr>
              <w:t>Model error creates catastrophic, irreversible harm — zero tolerance for false positives or negatives</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0AFE60AE" w14:textId="77777777" w:rsidR="00CC7514" w:rsidRDefault="00000000">
            <w:pPr>
              <w:jc w:val="center"/>
            </w:pPr>
            <w:r>
              <w:rPr>
                <w:color w:val="374151"/>
                <w:sz w:val="15"/>
                <w:szCs w:val="15"/>
              </w:rPr>
              <w:t>Model error is costly but recoverable with significant intervention</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5BCFB479" w14:textId="77777777" w:rsidR="00CC7514" w:rsidRDefault="00000000">
            <w:pPr>
              <w:jc w:val="center"/>
            </w:pPr>
            <w:r>
              <w:rPr>
                <w:color w:val="374151"/>
                <w:sz w:val="15"/>
                <w:szCs w:val="15"/>
              </w:rPr>
              <w:t>Model error is detectable and recoverable through downstream zone review</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4A4B67D0" w14:textId="77777777" w:rsidR="00CC7514" w:rsidRDefault="00000000">
            <w:pPr>
              <w:jc w:val="center"/>
            </w:pPr>
            <w:r>
              <w:rPr>
                <w:color w:val="374151"/>
                <w:sz w:val="15"/>
                <w:szCs w:val="15"/>
              </w:rPr>
              <w:t>Policy layer reliably catches model errors before consequential outcomes</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49DA78F1" w14:textId="77777777" w:rsidR="00CC7514" w:rsidRDefault="00CC7514"/>
        </w:tc>
      </w:tr>
      <w:tr w:rsidR="00CC7514" w14:paraId="6758D734"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120" w:type="dxa"/>
              <w:bottom w:w="80" w:type="dxa"/>
              <w:right w:w="100" w:type="dxa"/>
            </w:tcMar>
          </w:tcPr>
          <w:p w14:paraId="12870049" w14:textId="77777777" w:rsidR="00CC7514" w:rsidRDefault="00000000">
            <w:pPr>
              <w:spacing w:after="30"/>
            </w:pPr>
            <w:r>
              <w:rPr>
                <w:b/>
                <w:bCs/>
                <w:color w:val="0D2137"/>
                <w:sz w:val="19"/>
                <w:szCs w:val="19"/>
              </w:rPr>
              <w:t>Training data is available and representative</w:t>
            </w:r>
          </w:p>
        </w:tc>
        <w:tc>
          <w:tcPr>
            <w:tcW w:w="10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60229CBA" w14:textId="77777777" w:rsidR="00CC7514" w:rsidRDefault="00000000">
            <w:pPr>
              <w:jc w:val="center"/>
            </w:pPr>
            <w:r>
              <w:rPr>
                <w:b/>
                <w:bCs/>
                <w:color w:val="B45309"/>
                <w:sz w:val="18"/>
                <w:szCs w:val="18"/>
              </w:rPr>
              <w:t>×3</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2AE36BDB" w14:textId="77777777" w:rsidR="00CC7514" w:rsidRDefault="00000000">
            <w:pPr>
              <w:jc w:val="center"/>
            </w:pPr>
            <w:r>
              <w:rPr>
                <w:color w:val="374151"/>
                <w:sz w:val="15"/>
                <w:szCs w:val="15"/>
              </w:rPr>
              <w:t>No training data exists; data collection would take years</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71AD73B1" w14:textId="77777777" w:rsidR="00CC7514" w:rsidRDefault="00000000">
            <w:pPr>
              <w:jc w:val="center"/>
            </w:pPr>
            <w:r>
              <w:rPr>
                <w:color w:val="374151"/>
                <w:sz w:val="15"/>
                <w:szCs w:val="15"/>
              </w:rPr>
              <w:t>Limited data available; significant collection effort required before deployment</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263C43EA" w14:textId="77777777" w:rsidR="00CC7514" w:rsidRDefault="00000000">
            <w:pPr>
              <w:jc w:val="center"/>
            </w:pPr>
            <w:r>
              <w:rPr>
                <w:color w:val="374151"/>
                <w:sz w:val="15"/>
                <w:szCs w:val="15"/>
              </w:rPr>
              <w:t>Sufficient data available; model can be trained to acceptable accuracy before go-live</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71063029" w14:textId="77777777" w:rsidR="00CC7514" w:rsidRDefault="00000000">
            <w:pPr>
              <w:jc w:val="center"/>
            </w:pPr>
            <w:r>
              <w:rPr>
                <w:color w:val="374151"/>
                <w:sz w:val="15"/>
                <w:szCs w:val="15"/>
              </w:rPr>
              <w:t>Rich historical data exists; pre-trained models available in this domain</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15729207" w14:textId="77777777" w:rsidR="00CC7514" w:rsidRDefault="00CC7514"/>
        </w:tc>
      </w:tr>
      <w:tr w:rsidR="00CC7514" w14:paraId="71637E5B"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00" w:type="dxa"/>
            </w:tcMar>
          </w:tcPr>
          <w:p w14:paraId="5644DCBA" w14:textId="77777777" w:rsidR="00CC7514" w:rsidRDefault="00000000">
            <w:pPr>
              <w:spacing w:after="30"/>
            </w:pPr>
            <w:r>
              <w:rPr>
                <w:b/>
                <w:bCs/>
                <w:color w:val="0D2137"/>
                <w:sz w:val="19"/>
                <w:szCs w:val="19"/>
              </w:rPr>
              <w:t>AI output is auditable and explainable</w:t>
            </w:r>
          </w:p>
        </w:tc>
        <w:tc>
          <w:tcPr>
            <w:tcW w:w="1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80" w:type="dxa"/>
              <w:bottom w:w="80" w:type="dxa"/>
              <w:right w:w="80" w:type="dxa"/>
            </w:tcMar>
          </w:tcPr>
          <w:p w14:paraId="2AD4A88F" w14:textId="77777777" w:rsidR="00CC7514" w:rsidRDefault="00000000">
            <w:pPr>
              <w:jc w:val="center"/>
            </w:pPr>
            <w:r>
              <w:rPr>
                <w:b/>
                <w:bCs/>
                <w:color w:val="B45309"/>
                <w:sz w:val="18"/>
                <w:szCs w:val="18"/>
              </w:rPr>
              <w:t>×3</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3B533963" w14:textId="77777777" w:rsidR="00CC7514" w:rsidRDefault="00000000">
            <w:pPr>
              <w:jc w:val="center"/>
            </w:pPr>
            <w:r>
              <w:rPr>
                <w:color w:val="374151"/>
                <w:sz w:val="15"/>
                <w:szCs w:val="15"/>
              </w:rPr>
              <w:t>Model is a black box; no explanation of output is possible</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02CD50BA" w14:textId="77777777" w:rsidR="00CC7514" w:rsidRDefault="00000000">
            <w:pPr>
              <w:jc w:val="center"/>
            </w:pPr>
            <w:r>
              <w:rPr>
                <w:color w:val="374151"/>
                <w:sz w:val="15"/>
                <w:szCs w:val="15"/>
              </w:rPr>
              <w:t xml:space="preserve">Limited explainability — can state confidence </w:t>
            </w:r>
            <w:r>
              <w:rPr>
                <w:color w:val="374151"/>
                <w:sz w:val="15"/>
                <w:szCs w:val="15"/>
              </w:rPr>
              <w:lastRenderedPageBreak/>
              <w:t>but not basis of decision</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199EA72B" w14:textId="77777777" w:rsidR="00CC7514" w:rsidRDefault="00000000">
            <w:pPr>
              <w:jc w:val="center"/>
            </w:pPr>
            <w:r>
              <w:rPr>
                <w:color w:val="374151"/>
                <w:sz w:val="15"/>
                <w:szCs w:val="15"/>
              </w:rPr>
              <w:lastRenderedPageBreak/>
              <w:t xml:space="preserve">Output includes feature importance or threshold </w:t>
            </w:r>
            <w:r>
              <w:rPr>
                <w:color w:val="374151"/>
                <w:sz w:val="15"/>
                <w:szCs w:val="15"/>
              </w:rPr>
              <w:lastRenderedPageBreak/>
              <w:t>explanation at case level</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767FEDEB" w14:textId="77777777" w:rsidR="00CC7514" w:rsidRDefault="00000000">
            <w:pPr>
              <w:jc w:val="center"/>
            </w:pPr>
            <w:r>
              <w:rPr>
                <w:color w:val="374151"/>
                <w:sz w:val="15"/>
                <w:szCs w:val="15"/>
              </w:rPr>
              <w:lastRenderedPageBreak/>
              <w:t xml:space="preserve">Full audit trail: input data, model version, output score, and basis all </w:t>
            </w:r>
            <w:r>
              <w:rPr>
                <w:color w:val="374151"/>
                <w:sz w:val="15"/>
                <w:szCs w:val="15"/>
              </w:rPr>
              <w:lastRenderedPageBreak/>
              <w:t>logged per case</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24D7444A" w14:textId="77777777" w:rsidR="00CC7514" w:rsidRDefault="00CC7514"/>
        </w:tc>
      </w:tr>
      <w:tr w:rsidR="00CC7514" w14:paraId="63E0AF42" w14:textId="77777777">
        <w:tblPrEx>
          <w:tblCellMar>
            <w:top w:w="0" w:type="dxa"/>
            <w:bottom w:w="0" w:type="dxa"/>
          </w:tblCellMar>
        </w:tblPrEx>
        <w:tc>
          <w:tcPr>
            <w:tcW w:w="0" w:type="auto"/>
            <w:gridSpan w:val="7"/>
            <w:tcBorders>
              <w:top w:val="single" w:sz="1" w:space="0" w:color="D1D5DB"/>
              <w:left w:val="single" w:sz="1" w:space="0" w:color="D1D5DB"/>
              <w:bottom w:val="single" w:sz="1" w:space="0" w:color="B45309"/>
              <w:right w:val="single" w:sz="1" w:space="0" w:color="D1D5DB"/>
            </w:tcBorders>
            <w:shd w:val="clear" w:color="auto" w:fill="FEF3C7"/>
            <w:tcMar>
              <w:top w:w="70" w:type="dxa"/>
              <w:left w:w="100" w:type="dxa"/>
              <w:bottom w:w="60" w:type="dxa"/>
              <w:right w:w="80" w:type="dxa"/>
            </w:tcMar>
          </w:tcPr>
          <w:p w14:paraId="10F36119" w14:textId="77777777" w:rsidR="00CC7514" w:rsidRDefault="00000000">
            <w:proofErr w:type="gramStart"/>
            <w:r>
              <w:rPr>
                <w:b/>
                <w:bCs/>
                <w:color w:val="B45309"/>
                <w:sz w:val="18"/>
                <w:szCs w:val="18"/>
              </w:rPr>
              <w:t>D  —</w:t>
            </w:r>
            <w:proofErr w:type="gramEnd"/>
            <w:r>
              <w:rPr>
                <w:b/>
                <w:bCs/>
                <w:color w:val="B45309"/>
                <w:sz w:val="18"/>
                <w:szCs w:val="18"/>
              </w:rPr>
              <w:t xml:space="preserve">  Operational Reporting Readiness   |   Can the three-layer reporting model (zone / policy / operational) be meaningfully populated?</w:t>
            </w:r>
          </w:p>
        </w:tc>
      </w:tr>
      <w:tr w:rsidR="00CC7514" w14:paraId="4ABD3E2B"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120" w:type="dxa"/>
              <w:bottom w:w="80" w:type="dxa"/>
              <w:right w:w="100" w:type="dxa"/>
            </w:tcMar>
          </w:tcPr>
          <w:p w14:paraId="3DB05324" w14:textId="77777777" w:rsidR="00CC7514" w:rsidRDefault="00000000">
            <w:pPr>
              <w:spacing w:after="30"/>
            </w:pPr>
            <w:r>
              <w:rPr>
                <w:b/>
                <w:bCs/>
                <w:color w:val="0D2137"/>
                <w:sz w:val="19"/>
                <w:szCs w:val="19"/>
              </w:rPr>
              <w:t>KPIs are definable at zone level</w:t>
            </w:r>
          </w:p>
        </w:tc>
        <w:tc>
          <w:tcPr>
            <w:tcW w:w="10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30724F97" w14:textId="77777777" w:rsidR="00CC7514" w:rsidRDefault="00000000">
            <w:pPr>
              <w:jc w:val="center"/>
            </w:pPr>
            <w:r>
              <w:rPr>
                <w:b/>
                <w:bCs/>
                <w:color w:val="B45309"/>
                <w:sz w:val="18"/>
                <w:szCs w:val="18"/>
              </w:rPr>
              <w:t>×4</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2C642095" w14:textId="77777777" w:rsidR="00CC7514" w:rsidRDefault="00000000">
            <w:pPr>
              <w:jc w:val="center"/>
            </w:pPr>
            <w:r>
              <w:rPr>
                <w:color w:val="374151"/>
                <w:sz w:val="15"/>
                <w:szCs w:val="15"/>
              </w:rPr>
              <w:t>No measurable outcomes at zone level — process is anecdotal</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1842CDF8" w14:textId="77777777" w:rsidR="00CC7514" w:rsidRDefault="00000000">
            <w:pPr>
              <w:jc w:val="center"/>
            </w:pPr>
            <w:r>
              <w:rPr>
                <w:color w:val="374151"/>
                <w:sz w:val="15"/>
                <w:szCs w:val="15"/>
              </w:rPr>
              <w:t>Outcomes are measured but only at program level, not zone level</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55E474C4" w14:textId="77777777" w:rsidR="00CC7514" w:rsidRDefault="00000000">
            <w:pPr>
              <w:jc w:val="center"/>
            </w:pPr>
            <w:r>
              <w:rPr>
                <w:color w:val="374151"/>
                <w:sz w:val="15"/>
                <w:szCs w:val="15"/>
              </w:rPr>
              <w:t>Zone-level metrics exist informally or partially</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38605C98" w14:textId="77777777" w:rsidR="00CC7514" w:rsidRDefault="00000000">
            <w:pPr>
              <w:jc w:val="center"/>
            </w:pPr>
            <w:r>
              <w:rPr>
                <w:color w:val="374151"/>
                <w:sz w:val="15"/>
                <w:szCs w:val="15"/>
              </w:rPr>
              <w:t>Distinct KPIs per zone defined with targets, thresholds, and alert conditions</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63CD0171" w14:textId="77777777" w:rsidR="00CC7514" w:rsidRDefault="00CC7514"/>
        </w:tc>
      </w:tr>
      <w:tr w:rsidR="00CC7514" w14:paraId="24CECF50"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00" w:type="dxa"/>
            </w:tcMar>
          </w:tcPr>
          <w:p w14:paraId="5906C399" w14:textId="77777777" w:rsidR="00CC7514" w:rsidRDefault="00000000">
            <w:pPr>
              <w:spacing w:after="30"/>
            </w:pPr>
            <w:r>
              <w:rPr>
                <w:b/>
                <w:bCs/>
                <w:color w:val="0D2137"/>
                <w:sz w:val="19"/>
                <w:szCs w:val="19"/>
              </w:rPr>
              <w:t>Current data collection is structurally tractable</w:t>
            </w:r>
          </w:p>
        </w:tc>
        <w:tc>
          <w:tcPr>
            <w:tcW w:w="1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80" w:type="dxa"/>
              <w:bottom w:w="80" w:type="dxa"/>
              <w:right w:w="80" w:type="dxa"/>
            </w:tcMar>
          </w:tcPr>
          <w:p w14:paraId="738AA576" w14:textId="77777777" w:rsidR="00CC7514" w:rsidRDefault="00000000">
            <w:pPr>
              <w:jc w:val="center"/>
            </w:pPr>
            <w:r>
              <w:rPr>
                <w:b/>
                <w:bCs/>
                <w:color w:val="B45309"/>
                <w:sz w:val="18"/>
                <w:szCs w:val="18"/>
              </w:rPr>
              <w:t>×3</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28FA9AC0" w14:textId="77777777" w:rsidR="00CC7514" w:rsidRDefault="00000000">
            <w:pPr>
              <w:jc w:val="center"/>
            </w:pPr>
            <w:r>
              <w:rPr>
                <w:color w:val="374151"/>
                <w:sz w:val="15"/>
                <w:szCs w:val="15"/>
              </w:rPr>
              <w:t>All records are paper, unstructured, or inaccessible</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310F8D65" w14:textId="77777777" w:rsidR="00CC7514" w:rsidRDefault="00000000">
            <w:pPr>
              <w:jc w:val="center"/>
            </w:pPr>
            <w:r>
              <w:rPr>
                <w:color w:val="374151"/>
                <w:sz w:val="15"/>
                <w:szCs w:val="15"/>
              </w:rPr>
              <w:t>Digital records exist but in fragmented, incompatible systems</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3CB026C5" w14:textId="77777777" w:rsidR="00CC7514" w:rsidRDefault="00000000">
            <w:pPr>
              <w:jc w:val="center"/>
            </w:pPr>
            <w:r>
              <w:rPr>
                <w:color w:val="374151"/>
                <w:sz w:val="15"/>
                <w:szCs w:val="15"/>
              </w:rPr>
              <w:t>Core process data is digital and structurally accessible with integration effort</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4CCC2D8E" w14:textId="77777777" w:rsidR="00CC7514" w:rsidRDefault="00000000">
            <w:pPr>
              <w:jc w:val="center"/>
            </w:pPr>
            <w:r>
              <w:rPr>
                <w:color w:val="374151"/>
                <w:sz w:val="15"/>
                <w:szCs w:val="15"/>
              </w:rPr>
              <w:t>Structured digital records already exist at zone-transition points</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4FFC8032" w14:textId="77777777" w:rsidR="00CC7514" w:rsidRDefault="00CC7514"/>
        </w:tc>
      </w:tr>
      <w:tr w:rsidR="00CC7514" w14:paraId="242F284A"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120" w:type="dxa"/>
              <w:bottom w:w="80" w:type="dxa"/>
              <w:right w:w="100" w:type="dxa"/>
            </w:tcMar>
          </w:tcPr>
          <w:p w14:paraId="2CF3FF0A" w14:textId="77777777" w:rsidR="00CC7514" w:rsidRDefault="00000000">
            <w:pPr>
              <w:spacing w:after="30"/>
            </w:pPr>
            <w:r>
              <w:rPr>
                <w:b/>
                <w:bCs/>
                <w:color w:val="0D2137"/>
                <w:sz w:val="19"/>
                <w:szCs w:val="19"/>
              </w:rPr>
              <w:t>Reporting serves multiple stakeholder audiences</w:t>
            </w:r>
          </w:p>
        </w:tc>
        <w:tc>
          <w:tcPr>
            <w:tcW w:w="10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278BE758" w14:textId="77777777" w:rsidR="00CC7514" w:rsidRDefault="00000000">
            <w:pPr>
              <w:jc w:val="center"/>
            </w:pPr>
            <w:r>
              <w:rPr>
                <w:b/>
                <w:bCs/>
                <w:color w:val="B45309"/>
                <w:sz w:val="18"/>
                <w:szCs w:val="18"/>
              </w:rPr>
              <w:t>×2</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3D36E419" w14:textId="77777777" w:rsidR="00CC7514" w:rsidRDefault="00000000">
            <w:pPr>
              <w:jc w:val="center"/>
            </w:pPr>
            <w:r>
              <w:rPr>
                <w:color w:val="374151"/>
                <w:sz w:val="15"/>
                <w:szCs w:val="15"/>
              </w:rPr>
              <w:t>Single internal audience only; no external visibility required</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7DD977B5" w14:textId="77777777" w:rsidR="00CC7514" w:rsidRDefault="00000000">
            <w:pPr>
              <w:jc w:val="center"/>
            </w:pPr>
            <w:r>
              <w:rPr>
                <w:color w:val="374151"/>
                <w:sz w:val="15"/>
                <w:szCs w:val="15"/>
              </w:rPr>
              <w:t>Internal reporting to management; occasional external summaries</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1AD258C9" w14:textId="77777777" w:rsidR="00CC7514" w:rsidRDefault="00000000">
            <w:pPr>
              <w:jc w:val="center"/>
            </w:pPr>
            <w:r>
              <w:rPr>
                <w:color w:val="374151"/>
                <w:sz w:val="15"/>
                <w:szCs w:val="15"/>
              </w:rPr>
              <w:t>Regular external reporting to regulator, funder, or board</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12A4DE94" w14:textId="77777777" w:rsidR="00CC7514" w:rsidRDefault="00000000">
            <w:pPr>
              <w:jc w:val="center"/>
            </w:pPr>
            <w:r>
              <w:rPr>
                <w:color w:val="374151"/>
                <w:sz w:val="15"/>
                <w:szCs w:val="15"/>
              </w:rPr>
              <w:t>Multiple concurrent audiences: operators, management, regulator, auditor — each with different cadence</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59FB9926" w14:textId="77777777" w:rsidR="00CC7514" w:rsidRDefault="00CC7514"/>
        </w:tc>
      </w:tr>
      <w:tr w:rsidR="00CC7514" w14:paraId="7C9A13B8"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00" w:type="dxa"/>
            </w:tcMar>
          </w:tcPr>
          <w:p w14:paraId="40295E6C" w14:textId="77777777" w:rsidR="00CC7514" w:rsidRDefault="00000000">
            <w:pPr>
              <w:spacing w:after="30"/>
            </w:pPr>
            <w:r>
              <w:rPr>
                <w:b/>
                <w:bCs/>
                <w:color w:val="0D2137"/>
                <w:sz w:val="19"/>
                <w:szCs w:val="19"/>
              </w:rPr>
              <w:t>Clean-path rate is a meaningful metric</w:t>
            </w:r>
          </w:p>
        </w:tc>
        <w:tc>
          <w:tcPr>
            <w:tcW w:w="1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80" w:type="dxa"/>
              <w:bottom w:w="80" w:type="dxa"/>
              <w:right w:w="80" w:type="dxa"/>
            </w:tcMar>
          </w:tcPr>
          <w:p w14:paraId="0E183047" w14:textId="77777777" w:rsidR="00CC7514" w:rsidRDefault="00000000">
            <w:pPr>
              <w:jc w:val="center"/>
            </w:pPr>
            <w:r>
              <w:rPr>
                <w:b/>
                <w:bCs/>
                <w:color w:val="B45309"/>
                <w:sz w:val="18"/>
                <w:szCs w:val="18"/>
              </w:rPr>
              <w:t>×3</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5100BB81" w14:textId="77777777" w:rsidR="00CC7514" w:rsidRDefault="00000000">
            <w:pPr>
              <w:jc w:val="center"/>
            </w:pPr>
            <w:r>
              <w:rPr>
                <w:color w:val="374151"/>
                <w:sz w:val="15"/>
                <w:szCs w:val="15"/>
              </w:rPr>
              <w:t>Process has no clean path concept — all cases require exception handling</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2426280B" w14:textId="77777777" w:rsidR="00CC7514" w:rsidRDefault="00000000">
            <w:pPr>
              <w:jc w:val="center"/>
            </w:pPr>
            <w:r>
              <w:rPr>
                <w:color w:val="374151"/>
                <w:sz w:val="15"/>
                <w:szCs w:val="15"/>
              </w:rPr>
              <w:t>Clean path exists but is not tracked or valued</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66DB0237" w14:textId="77777777" w:rsidR="00CC7514" w:rsidRDefault="00000000">
            <w:pPr>
              <w:jc w:val="center"/>
            </w:pPr>
            <w:r>
              <w:rPr>
                <w:color w:val="374151"/>
                <w:sz w:val="15"/>
                <w:szCs w:val="15"/>
              </w:rPr>
              <w:t>Clean path rate tracked informally; improvement is an organisational goal</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7AF0D81C" w14:textId="77777777" w:rsidR="00CC7514" w:rsidRDefault="00000000">
            <w:pPr>
              <w:jc w:val="center"/>
            </w:pPr>
            <w:r>
              <w:rPr>
                <w:color w:val="374151"/>
                <w:sz w:val="15"/>
                <w:szCs w:val="15"/>
              </w:rPr>
              <w:t>Clean path rate is a formal performance target with consequences for deviation</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049FAC1A" w14:textId="77777777" w:rsidR="00CC7514" w:rsidRDefault="00CC7514"/>
        </w:tc>
      </w:tr>
      <w:tr w:rsidR="00CC7514" w14:paraId="3FEE9812" w14:textId="77777777">
        <w:tblPrEx>
          <w:tblCellMar>
            <w:top w:w="0" w:type="dxa"/>
            <w:bottom w:w="0" w:type="dxa"/>
          </w:tblCellMar>
        </w:tblPrEx>
        <w:tc>
          <w:tcPr>
            <w:tcW w:w="0" w:type="auto"/>
            <w:gridSpan w:val="7"/>
            <w:tcBorders>
              <w:top w:val="single" w:sz="1" w:space="0" w:color="D1D5DB"/>
              <w:left w:val="single" w:sz="1" w:space="0" w:color="D1D5DB"/>
              <w:bottom w:val="single" w:sz="1" w:space="0" w:color="B45309"/>
              <w:right w:val="single" w:sz="1" w:space="0" w:color="D1D5DB"/>
            </w:tcBorders>
            <w:shd w:val="clear" w:color="auto" w:fill="FEF3C7"/>
            <w:tcMar>
              <w:top w:w="70" w:type="dxa"/>
              <w:left w:w="100" w:type="dxa"/>
              <w:bottom w:w="60" w:type="dxa"/>
              <w:right w:w="80" w:type="dxa"/>
            </w:tcMar>
          </w:tcPr>
          <w:p w14:paraId="3DF3757A" w14:textId="77777777" w:rsidR="00CC7514" w:rsidRDefault="00000000">
            <w:proofErr w:type="gramStart"/>
            <w:r>
              <w:rPr>
                <w:b/>
                <w:bCs/>
                <w:color w:val="B45309"/>
                <w:sz w:val="18"/>
                <w:szCs w:val="18"/>
              </w:rPr>
              <w:t>E  —</w:t>
            </w:r>
            <w:proofErr w:type="gramEnd"/>
            <w:r>
              <w:rPr>
                <w:b/>
                <w:bCs/>
                <w:color w:val="B45309"/>
                <w:sz w:val="18"/>
                <w:szCs w:val="18"/>
              </w:rPr>
              <w:t xml:space="preserve">  Commercial and Implementation Viability   |   Is the use case commercially strong and practically implementable?</w:t>
            </w:r>
          </w:p>
        </w:tc>
      </w:tr>
      <w:tr w:rsidR="00CC7514" w14:paraId="17561F22"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120" w:type="dxa"/>
              <w:bottom w:w="80" w:type="dxa"/>
              <w:right w:w="100" w:type="dxa"/>
            </w:tcMar>
          </w:tcPr>
          <w:p w14:paraId="3F4CC0B5" w14:textId="77777777" w:rsidR="00CC7514" w:rsidRDefault="00000000">
            <w:pPr>
              <w:spacing w:after="30"/>
            </w:pPr>
            <w:r>
              <w:rPr>
                <w:b/>
                <w:bCs/>
                <w:color w:val="0D2137"/>
                <w:sz w:val="19"/>
                <w:szCs w:val="19"/>
              </w:rPr>
              <w:t>Quantifiable cost of current-state problem</w:t>
            </w:r>
          </w:p>
        </w:tc>
        <w:tc>
          <w:tcPr>
            <w:tcW w:w="10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7E89B53E" w14:textId="77777777" w:rsidR="00CC7514" w:rsidRDefault="00000000">
            <w:pPr>
              <w:jc w:val="center"/>
            </w:pPr>
            <w:r>
              <w:rPr>
                <w:b/>
                <w:bCs/>
                <w:color w:val="B45309"/>
                <w:sz w:val="18"/>
                <w:szCs w:val="18"/>
              </w:rPr>
              <w:t>×5</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03FB1565" w14:textId="77777777" w:rsidR="00CC7514" w:rsidRDefault="00000000">
            <w:pPr>
              <w:jc w:val="center"/>
            </w:pPr>
            <w:r>
              <w:rPr>
                <w:color w:val="374151"/>
                <w:sz w:val="15"/>
                <w:szCs w:val="15"/>
              </w:rPr>
              <w:t>Problem cost is anecdotal — no defensible number exists</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52707F8F" w14:textId="77777777" w:rsidR="00CC7514" w:rsidRDefault="00000000">
            <w:pPr>
              <w:jc w:val="center"/>
            </w:pPr>
            <w:r>
              <w:rPr>
                <w:color w:val="374151"/>
                <w:sz w:val="15"/>
                <w:szCs w:val="15"/>
              </w:rPr>
              <w:t xml:space="preserve">Rough order of magnitude </w:t>
            </w:r>
            <w:proofErr w:type="gramStart"/>
            <w:r>
              <w:rPr>
                <w:color w:val="374151"/>
                <w:sz w:val="15"/>
                <w:szCs w:val="15"/>
              </w:rPr>
              <w:t>estimate</w:t>
            </w:r>
            <w:proofErr w:type="gramEnd"/>
            <w:r>
              <w:rPr>
                <w:color w:val="374151"/>
                <w:sz w:val="15"/>
                <w:szCs w:val="15"/>
              </w:rPr>
              <w:t xml:space="preserve"> only; methodology is contestable</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40DA6FCF" w14:textId="77777777" w:rsidR="00CC7514" w:rsidRDefault="00000000">
            <w:pPr>
              <w:jc w:val="center"/>
            </w:pPr>
            <w:r>
              <w:rPr>
                <w:color w:val="374151"/>
                <w:sz w:val="15"/>
                <w:szCs w:val="15"/>
              </w:rPr>
              <w:t>Documented cost figure exists from credible source; methodology is sound</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17003065" w14:textId="77777777" w:rsidR="00CC7514" w:rsidRDefault="00000000">
            <w:pPr>
              <w:jc w:val="center"/>
            </w:pPr>
            <w:r>
              <w:rPr>
                <w:color w:val="374151"/>
                <w:sz w:val="15"/>
                <w:szCs w:val="15"/>
              </w:rPr>
              <w:t>Published, independently verified cost figure; used in procurement or regulatory contexts</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7D4D3E25" w14:textId="77777777" w:rsidR="00CC7514" w:rsidRDefault="00CC7514"/>
        </w:tc>
      </w:tr>
      <w:tr w:rsidR="00CC7514" w14:paraId="32169F7D"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00" w:type="dxa"/>
            </w:tcMar>
          </w:tcPr>
          <w:p w14:paraId="5DF52168" w14:textId="77777777" w:rsidR="00CC7514" w:rsidRDefault="00000000">
            <w:pPr>
              <w:spacing w:after="30"/>
            </w:pPr>
            <w:r>
              <w:rPr>
                <w:b/>
                <w:bCs/>
                <w:color w:val="0D2137"/>
                <w:sz w:val="19"/>
                <w:szCs w:val="19"/>
              </w:rPr>
              <w:t>Buyer has authority and budget</w:t>
            </w:r>
          </w:p>
        </w:tc>
        <w:tc>
          <w:tcPr>
            <w:tcW w:w="1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80" w:type="dxa"/>
              <w:bottom w:w="80" w:type="dxa"/>
              <w:right w:w="80" w:type="dxa"/>
            </w:tcMar>
          </w:tcPr>
          <w:p w14:paraId="200F8C9E" w14:textId="77777777" w:rsidR="00CC7514" w:rsidRDefault="00000000">
            <w:pPr>
              <w:jc w:val="center"/>
            </w:pPr>
            <w:r>
              <w:rPr>
                <w:b/>
                <w:bCs/>
                <w:color w:val="B45309"/>
                <w:sz w:val="18"/>
                <w:szCs w:val="18"/>
              </w:rPr>
              <w:t>×4</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0F924A37" w14:textId="77777777" w:rsidR="00CC7514" w:rsidRDefault="00000000">
            <w:pPr>
              <w:jc w:val="center"/>
            </w:pPr>
            <w:r>
              <w:rPr>
                <w:color w:val="374151"/>
                <w:sz w:val="15"/>
                <w:szCs w:val="15"/>
              </w:rPr>
              <w:t xml:space="preserve">No identified </w:t>
            </w:r>
            <w:proofErr w:type="gramStart"/>
            <w:r>
              <w:rPr>
                <w:color w:val="374151"/>
                <w:sz w:val="15"/>
                <w:szCs w:val="15"/>
              </w:rPr>
              <w:t>buyer;</w:t>
            </w:r>
            <w:proofErr w:type="gramEnd"/>
            <w:r>
              <w:rPr>
                <w:color w:val="374151"/>
                <w:sz w:val="15"/>
                <w:szCs w:val="15"/>
              </w:rPr>
              <w:t xml:space="preserve"> problem is real but ownership is diffuse</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7A35D806" w14:textId="77777777" w:rsidR="00CC7514" w:rsidRDefault="00000000">
            <w:pPr>
              <w:jc w:val="center"/>
            </w:pPr>
            <w:r>
              <w:rPr>
                <w:color w:val="374151"/>
                <w:sz w:val="15"/>
                <w:szCs w:val="15"/>
              </w:rPr>
              <w:t>Buyer identified but lacks authority or budget for this class of solution</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7EAD5949" w14:textId="77777777" w:rsidR="00CC7514" w:rsidRDefault="00000000">
            <w:pPr>
              <w:jc w:val="center"/>
            </w:pPr>
            <w:r>
              <w:rPr>
                <w:color w:val="374151"/>
                <w:sz w:val="15"/>
                <w:szCs w:val="15"/>
              </w:rPr>
              <w:t>Buyer has budget authority; procurement pathway exists</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5B473024" w14:textId="77777777" w:rsidR="00CC7514" w:rsidRDefault="00000000">
            <w:pPr>
              <w:jc w:val="center"/>
            </w:pPr>
            <w:r>
              <w:rPr>
                <w:color w:val="374151"/>
                <w:sz w:val="15"/>
                <w:szCs w:val="15"/>
              </w:rPr>
              <w:t>Active procurement underway or funded mandate to address this problem</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550EC133" w14:textId="77777777" w:rsidR="00CC7514" w:rsidRDefault="00CC7514"/>
        </w:tc>
      </w:tr>
      <w:tr w:rsidR="00CC7514" w14:paraId="11439351"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120" w:type="dxa"/>
              <w:bottom w:w="80" w:type="dxa"/>
              <w:right w:w="100" w:type="dxa"/>
            </w:tcMar>
          </w:tcPr>
          <w:p w14:paraId="28F14FB6" w14:textId="77777777" w:rsidR="00CC7514" w:rsidRDefault="00000000">
            <w:pPr>
              <w:spacing w:after="30"/>
            </w:pPr>
            <w:r>
              <w:rPr>
                <w:b/>
                <w:bCs/>
                <w:color w:val="0D2137"/>
                <w:sz w:val="19"/>
                <w:szCs w:val="19"/>
              </w:rPr>
              <w:t>Regulatory or legal driver creates urgency</w:t>
            </w:r>
          </w:p>
        </w:tc>
        <w:tc>
          <w:tcPr>
            <w:tcW w:w="10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4C8BAFAA" w14:textId="77777777" w:rsidR="00CC7514" w:rsidRDefault="00000000">
            <w:pPr>
              <w:jc w:val="center"/>
            </w:pPr>
            <w:r>
              <w:rPr>
                <w:b/>
                <w:bCs/>
                <w:color w:val="B45309"/>
                <w:sz w:val="18"/>
                <w:szCs w:val="18"/>
              </w:rPr>
              <w:t>×3</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25DEEF97" w14:textId="77777777" w:rsidR="00CC7514" w:rsidRDefault="00000000">
            <w:pPr>
              <w:jc w:val="center"/>
            </w:pPr>
            <w:r>
              <w:rPr>
                <w:color w:val="374151"/>
                <w:sz w:val="15"/>
                <w:szCs w:val="15"/>
              </w:rPr>
              <w:t>No external driver — status quo is comfortable for the buyer</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749A3DBB" w14:textId="77777777" w:rsidR="00CC7514" w:rsidRDefault="00000000">
            <w:pPr>
              <w:jc w:val="center"/>
            </w:pPr>
            <w:r>
              <w:rPr>
                <w:color w:val="374151"/>
                <w:sz w:val="15"/>
                <w:szCs w:val="15"/>
              </w:rPr>
              <w:t>Soft pressure (industry best practice, peer comparison) only</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5C3F32E2" w14:textId="77777777" w:rsidR="00CC7514" w:rsidRDefault="00000000">
            <w:pPr>
              <w:jc w:val="center"/>
            </w:pPr>
            <w:r>
              <w:rPr>
                <w:color w:val="374151"/>
                <w:sz w:val="15"/>
                <w:szCs w:val="15"/>
              </w:rPr>
              <w:t>Regulatory guidance or published standard creates compliance expectation</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7F8FDCFE" w14:textId="77777777" w:rsidR="00CC7514" w:rsidRDefault="00000000">
            <w:pPr>
              <w:jc w:val="center"/>
            </w:pPr>
            <w:r>
              <w:rPr>
                <w:color w:val="374151"/>
                <w:sz w:val="15"/>
                <w:szCs w:val="15"/>
              </w:rPr>
              <w:t>Hard legal deadline, enforcement action, or material liability creates urgency</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4D1DF4C2" w14:textId="77777777" w:rsidR="00CC7514" w:rsidRDefault="00CC7514"/>
        </w:tc>
      </w:tr>
      <w:tr w:rsidR="00CC7514" w14:paraId="14FCA728"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00" w:type="dxa"/>
            </w:tcMar>
          </w:tcPr>
          <w:p w14:paraId="68773FEC" w14:textId="77777777" w:rsidR="00CC7514" w:rsidRDefault="00000000">
            <w:pPr>
              <w:spacing w:after="30"/>
            </w:pPr>
            <w:r>
              <w:rPr>
                <w:b/>
                <w:bCs/>
                <w:color w:val="0D2137"/>
                <w:sz w:val="19"/>
                <w:szCs w:val="19"/>
              </w:rPr>
              <w:t>Scalability across instances or jurisdictions</w:t>
            </w:r>
          </w:p>
        </w:tc>
        <w:tc>
          <w:tcPr>
            <w:tcW w:w="1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80" w:type="dxa"/>
              <w:bottom w:w="80" w:type="dxa"/>
              <w:right w:w="80" w:type="dxa"/>
            </w:tcMar>
          </w:tcPr>
          <w:p w14:paraId="41DC3519" w14:textId="77777777" w:rsidR="00CC7514" w:rsidRDefault="00000000">
            <w:pPr>
              <w:jc w:val="center"/>
            </w:pPr>
            <w:r>
              <w:rPr>
                <w:b/>
                <w:bCs/>
                <w:color w:val="B45309"/>
                <w:sz w:val="18"/>
                <w:szCs w:val="18"/>
              </w:rPr>
              <w:t>×3</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37EDDD4B" w14:textId="77777777" w:rsidR="00CC7514" w:rsidRDefault="00000000">
            <w:pPr>
              <w:jc w:val="center"/>
            </w:pPr>
            <w:r>
              <w:rPr>
                <w:color w:val="374151"/>
                <w:sz w:val="15"/>
                <w:szCs w:val="15"/>
              </w:rPr>
              <w:t>Single-instance solution only; cannot be replicated</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3B4F5E96" w14:textId="77777777" w:rsidR="00CC7514" w:rsidRDefault="00000000">
            <w:pPr>
              <w:jc w:val="center"/>
            </w:pPr>
            <w:r>
              <w:rPr>
                <w:color w:val="374151"/>
                <w:sz w:val="15"/>
                <w:szCs w:val="15"/>
              </w:rPr>
              <w:t>Replicable with significant customisation effort per instance</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6EEC803F" w14:textId="77777777" w:rsidR="00CC7514" w:rsidRDefault="00000000">
            <w:pPr>
              <w:jc w:val="center"/>
            </w:pPr>
            <w:r>
              <w:rPr>
                <w:color w:val="374151"/>
                <w:sz w:val="15"/>
                <w:szCs w:val="15"/>
              </w:rPr>
              <w:t>Core architecture reusable; zone and policy content configurable per instance</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0200F657" w14:textId="77777777" w:rsidR="00CC7514" w:rsidRDefault="00000000">
            <w:pPr>
              <w:jc w:val="center"/>
            </w:pPr>
            <w:r>
              <w:rPr>
                <w:color w:val="374151"/>
                <w:sz w:val="15"/>
                <w:szCs w:val="15"/>
              </w:rPr>
              <w:t>Zone definitions and policy rules are jurisdiction-configurable; platform is horizontally scalable</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79F7080C" w14:textId="77777777" w:rsidR="00CC7514" w:rsidRDefault="00CC7514"/>
        </w:tc>
      </w:tr>
      <w:tr w:rsidR="00CC7514" w14:paraId="5549317E"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120" w:type="dxa"/>
              <w:bottom w:w="80" w:type="dxa"/>
              <w:right w:w="100" w:type="dxa"/>
            </w:tcMar>
          </w:tcPr>
          <w:p w14:paraId="3BA55836" w14:textId="77777777" w:rsidR="00CC7514" w:rsidRDefault="00000000">
            <w:pPr>
              <w:spacing w:after="30"/>
            </w:pPr>
            <w:r>
              <w:rPr>
                <w:b/>
                <w:bCs/>
                <w:color w:val="0D2137"/>
                <w:sz w:val="19"/>
                <w:szCs w:val="19"/>
              </w:rPr>
              <w:lastRenderedPageBreak/>
              <w:t>Demonstrable in a bounded tabletop scenario</w:t>
            </w:r>
          </w:p>
        </w:tc>
        <w:tc>
          <w:tcPr>
            <w:tcW w:w="10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5135EFAD" w14:textId="77777777" w:rsidR="00CC7514" w:rsidRDefault="00000000">
            <w:pPr>
              <w:jc w:val="center"/>
            </w:pPr>
            <w:r>
              <w:rPr>
                <w:b/>
                <w:bCs/>
                <w:color w:val="B45309"/>
                <w:sz w:val="18"/>
                <w:szCs w:val="18"/>
              </w:rPr>
              <w:t>×2</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1D389472" w14:textId="77777777" w:rsidR="00CC7514" w:rsidRDefault="00000000">
            <w:pPr>
              <w:jc w:val="center"/>
            </w:pPr>
            <w:r>
              <w:rPr>
                <w:color w:val="374151"/>
                <w:sz w:val="15"/>
                <w:szCs w:val="15"/>
              </w:rPr>
              <w:t>Cannot be reduced to a legible demo — too complex or abstract</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1EA38FAA" w14:textId="77777777" w:rsidR="00CC7514" w:rsidRDefault="00000000">
            <w:pPr>
              <w:jc w:val="center"/>
            </w:pPr>
            <w:r>
              <w:rPr>
                <w:color w:val="374151"/>
                <w:sz w:val="15"/>
                <w:szCs w:val="15"/>
              </w:rPr>
              <w:t>Demo possible but requires significant domain knowledge to interpret</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03CB33B8" w14:textId="77777777" w:rsidR="00CC7514" w:rsidRDefault="00000000">
            <w:pPr>
              <w:jc w:val="center"/>
            </w:pPr>
            <w:r>
              <w:rPr>
                <w:color w:val="374151"/>
                <w:sz w:val="15"/>
                <w:szCs w:val="15"/>
              </w:rPr>
              <w:t>Demo is legible to a sophisticated buyer with brief context-setting</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258BCDD9" w14:textId="77777777" w:rsidR="00CC7514" w:rsidRDefault="00000000">
            <w:pPr>
              <w:jc w:val="center"/>
            </w:pPr>
            <w:r>
              <w:rPr>
                <w:color w:val="374151"/>
                <w:sz w:val="15"/>
                <w:szCs w:val="15"/>
              </w:rPr>
              <w:t>Demo is self-evident to any observer — problem and solution visible in under 10 minutes</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7F64B38D" w14:textId="77777777" w:rsidR="00CC7514" w:rsidRDefault="00CC7514"/>
        </w:tc>
      </w:tr>
      <w:tr w:rsidR="00CC7514" w14:paraId="20C34C54" w14:textId="77777777">
        <w:tblPrEx>
          <w:tblCellMar>
            <w:top w:w="0" w:type="dxa"/>
            <w:bottom w:w="0" w:type="dxa"/>
          </w:tblCellMar>
        </w:tblPrEx>
        <w:tc>
          <w:tcPr>
            <w:tcW w:w="4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00" w:type="dxa"/>
            </w:tcMar>
          </w:tcPr>
          <w:p w14:paraId="73FC7F9E" w14:textId="77777777" w:rsidR="00CC7514" w:rsidRDefault="00000000">
            <w:pPr>
              <w:spacing w:after="30"/>
            </w:pPr>
            <w:r>
              <w:rPr>
                <w:b/>
                <w:bCs/>
                <w:color w:val="0D2137"/>
                <w:sz w:val="19"/>
                <w:szCs w:val="19"/>
              </w:rPr>
              <w:t>Implementation timeline is credible</w:t>
            </w:r>
          </w:p>
        </w:tc>
        <w:tc>
          <w:tcPr>
            <w:tcW w:w="1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80" w:type="dxa"/>
              <w:bottom w:w="80" w:type="dxa"/>
              <w:right w:w="80" w:type="dxa"/>
            </w:tcMar>
          </w:tcPr>
          <w:p w14:paraId="38B8D03A" w14:textId="77777777" w:rsidR="00CC7514" w:rsidRDefault="00000000">
            <w:pPr>
              <w:jc w:val="center"/>
            </w:pPr>
            <w:r>
              <w:rPr>
                <w:b/>
                <w:bCs/>
                <w:color w:val="B45309"/>
                <w:sz w:val="18"/>
                <w:szCs w:val="18"/>
              </w:rPr>
              <w:t>×2</w:t>
            </w:r>
          </w:p>
        </w:tc>
        <w:tc>
          <w:tcPr>
            <w:tcW w:w="700" w:type="dxa"/>
            <w:tcBorders>
              <w:top w:val="single" w:sz="1" w:space="0" w:color="D1D5DB"/>
              <w:left w:val="single" w:sz="1" w:space="0" w:color="D1D5DB"/>
              <w:bottom w:val="single" w:sz="1" w:space="0" w:color="D1D5DB"/>
              <w:right w:val="single" w:sz="1" w:space="0" w:color="D1D5DB"/>
            </w:tcBorders>
            <w:shd w:val="clear" w:color="auto" w:fill="FEE2E2"/>
            <w:tcMar>
              <w:top w:w="60" w:type="dxa"/>
              <w:left w:w="60" w:type="dxa"/>
              <w:bottom w:w="60" w:type="dxa"/>
              <w:right w:w="60" w:type="dxa"/>
            </w:tcMar>
          </w:tcPr>
          <w:p w14:paraId="2519166A" w14:textId="77777777" w:rsidR="00CC7514" w:rsidRDefault="00000000">
            <w:pPr>
              <w:jc w:val="center"/>
            </w:pPr>
            <w:r>
              <w:rPr>
                <w:color w:val="374151"/>
                <w:sz w:val="15"/>
                <w:szCs w:val="15"/>
              </w:rPr>
              <w:t>Cannot be deployed within 18 months under any realistic plan</w:t>
            </w:r>
          </w:p>
        </w:tc>
        <w:tc>
          <w:tcPr>
            <w:tcW w:w="700" w:type="dxa"/>
            <w:tcBorders>
              <w:top w:val="single" w:sz="1" w:space="0" w:color="D1D5DB"/>
              <w:left w:val="single" w:sz="1" w:space="0" w:color="D1D5DB"/>
              <w:bottom w:val="single" w:sz="1" w:space="0" w:color="D1D5DB"/>
              <w:right w:val="single" w:sz="1" w:space="0" w:color="D1D5DB"/>
            </w:tcBorders>
            <w:shd w:val="clear" w:color="auto" w:fill="FEF3C7"/>
            <w:tcMar>
              <w:top w:w="60" w:type="dxa"/>
              <w:left w:w="60" w:type="dxa"/>
              <w:bottom w:w="60" w:type="dxa"/>
              <w:right w:w="60" w:type="dxa"/>
            </w:tcMar>
          </w:tcPr>
          <w:p w14:paraId="4E7DB613" w14:textId="77777777" w:rsidR="00CC7514" w:rsidRDefault="00000000">
            <w:pPr>
              <w:jc w:val="center"/>
            </w:pPr>
            <w:r>
              <w:rPr>
                <w:color w:val="374151"/>
                <w:sz w:val="15"/>
                <w:szCs w:val="15"/>
              </w:rPr>
              <w:t>18–36 month deployment; multiple critical dependencies</w:t>
            </w:r>
          </w:p>
        </w:tc>
        <w:tc>
          <w:tcPr>
            <w:tcW w:w="700" w:type="dxa"/>
            <w:tcBorders>
              <w:top w:val="single" w:sz="1" w:space="0" w:color="D1D5DB"/>
              <w:left w:val="single" w:sz="1" w:space="0" w:color="D1D5DB"/>
              <w:bottom w:val="single" w:sz="1" w:space="0" w:color="D1D5DB"/>
              <w:right w:val="single" w:sz="1" w:space="0" w:color="D1D5DB"/>
            </w:tcBorders>
            <w:shd w:val="clear" w:color="auto" w:fill="DCFCE7"/>
            <w:tcMar>
              <w:top w:w="60" w:type="dxa"/>
              <w:left w:w="60" w:type="dxa"/>
              <w:bottom w:w="60" w:type="dxa"/>
              <w:right w:w="60" w:type="dxa"/>
            </w:tcMar>
          </w:tcPr>
          <w:p w14:paraId="47BEE160" w14:textId="77777777" w:rsidR="00CC7514" w:rsidRDefault="00000000">
            <w:pPr>
              <w:jc w:val="center"/>
            </w:pPr>
            <w:r>
              <w:rPr>
                <w:color w:val="374151"/>
                <w:sz w:val="15"/>
                <w:szCs w:val="15"/>
              </w:rPr>
              <w:t>12–18 month deployment; dependencies identified and manageable</w:t>
            </w:r>
          </w:p>
        </w:tc>
        <w:tc>
          <w:tcPr>
            <w:tcW w:w="700" w:type="dxa"/>
            <w:tcBorders>
              <w:top w:val="single" w:sz="1" w:space="0" w:color="D1D5DB"/>
              <w:left w:val="single" w:sz="1" w:space="0" w:color="D1D5DB"/>
              <w:bottom w:val="single" w:sz="1" w:space="0" w:color="D1D5DB"/>
              <w:right w:val="single" w:sz="1" w:space="0" w:color="D1D5DB"/>
            </w:tcBorders>
            <w:shd w:val="clear" w:color="auto" w:fill="D1FAE5"/>
            <w:tcMar>
              <w:top w:w="60" w:type="dxa"/>
              <w:left w:w="60" w:type="dxa"/>
              <w:bottom w:w="60" w:type="dxa"/>
              <w:right w:w="60" w:type="dxa"/>
            </w:tcMar>
          </w:tcPr>
          <w:p w14:paraId="00D8FDFD" w14:textId="77777777" w:rsidR="00CC7514" w:rsidRDefault="00000000">
            <w:pPr>
              <w:jc w:val="center"/>
            </w:pPr>
            <w:r>
              <w:rPr>
                <w:color w:val="374151"/>
                <w:sz w:val="15"/>
                <w:szCs w:val="15"/>
              </w:rPr>
              <w:t>Pilot deployable within 6 months; phased rollout plan is credible</w:t>
            </w:r>
          </w:p>
        </w:tc>
        <w:tc>
          <w:tcPr>
            <w:tcW w:w="13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1F948BC8" w14:textId="77777777" w:rsidR="00CC7514" w:rsidRDefault="00CC7514"/>
        </w:tc>
      </w:tr>
    </w:tbl>
    <w:p w14:paraId="7F53FB3B" w14:textId="77777777" w:rsidR="00CC7514" w:rsidRDefault="00CC7514">
      <w:pPr>
        <w:spacing w:before="4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CC7514" w14:paraId="3DDD6AFB"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0D2137"/>
            <w:tcMar>
              <w:top w:w="140" w:type="dxa"/>
              <w:left w:w="180" w:type="dxa"/>
              <w:bottom w:w="100" w:type="dxa"/>
              <w:right w:w="180" w:type="dxa"/>
            </w:tcMar>
          </w:tcPr>
          <w:p w14:paraId="53D9FE48" w14:textId="77777777" w:rsidR="00CC7514" w:rsidRDefault="00000000">
            <w:pPr>
              <w:spacing w:after="40"/>
            </w:pPr>
            <w:r>
              <w:rPr>
                <w:b/>
                <w:bCs/>
                <w:color w:val="FFFFFF"/>
                <w:sz w:val="26"/>
                <w:szCs w:val="26"/>
              </w:rPr>
              <w:t>SCORING WORKSHEET</w:t>
            </w:r>
          </w:p>
          <w:p w14:paraId="6CFCEB57" w14:textId="77777777" w:rsidR="00CC7514" w:rsidRDefault="00000000">
            <w:r>
              <w:rPr>
                <w:color w:val="A0B4C8"/>
                <w:sz w:val="18"/>
                <w:szCs w:val="18"/>
              </w:rPr>
              <w:t>Transfer weighted scores from the checklist. Normalise to 100-point scale.</w:t>
            </w:r>
          </w:p>
        </w:tc>
      </w:tr>
    </w:tbl>
    <w:p w14:paraId="725DFB1E" w14:textId="77777777" w:rsidR="00CC7514" w:rsidRDefault="00CC7514">
      <w:pPr>
        <w:spacing w:before="20"/>
      </w:pPr>
    </w:p>
    <w:p w14:paraId="1A77A93C" w14:textId="77777777" w:rsidR="00CC7514" w:rsidRDefault="00000000">
      <w:pPr>
        <w:spacing w:after="80"/>
      </w:pPr>
      <w:r>
        <w:rPr>
          <w:color w:val="374151"/>
          <w:sz w:val="19"/>
          <w:szCs w:val="19"/>
        </w:rPr>
        <w:t>For each section, sum the weighted scores (criterion score × weight) and record below. The maximum possible score is 288 (all criteria scored 3 at maximum weight). Normalise: (Total Weighted Score ÷ 288) × 100 = Score out of 100.</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0"/>
        <w:gridCol w:w="1205"/>
        <w:gridCol w:w="773"/>
        <w:gridCol w:w="925"/>
        <w:gridCol w:w="978"/>
        <w:gridCol w:w="796"/>
        <w:gridCol w:w="2013"/>
      </w:tblGrid>
      <w:tr w:rsidR="00CC7514" w14:paraId="20DB2378" w14:textId="77777777" w:rsidTr="00445049">
        <w:tblPrEx>
          <w:tblCellMar>
            <w:top w:w="0" w:type="dxa"/>
            <w:bottom w:w="0" w:type="dxa"/>
          </w:tblCellMar>
        </w:tblPrEx>
        <w:tc>
          <w:tcPr>
            <w:tcW w:w="3800" w:type="dxa"/>
            <w:tcBorders>
              <w:top w:val="single" w:sz="1" w:space="0" w:color="0D2137"/>
              <w:left w:val="single" w:sz="1" w:space="0" w:color="0D2137"/>
              <w:bottom w:val="single" w:sz="1" w:space="0" w:color="0D2137"/>
              <w:right w:val="single" w:sz="1" w:space="0" w:color="0D2137"/>
            </w:tcBorders>
            <w:shd w:val="clear" w:color="auto" w:fill="1E3A5F"/>
            <w:tcMar>
              <w:top w:w="80" w:type="dxa"/>
              <w:left w:w="80" w:type="dxa"/>
              <w:bottom w:w="80" w:type="dxa"/>
              <w:right w:w="80" w:type="dxa"/>
            </w:tcMar>
          </w:tcPr>
          <w:p w14:paraId="7BA415AB" w14:textId="77777777" w:rsidR="00CC7514" w:rsidRDefault="00000000">
            <w:pPr>
              <w:jc w:val="center"/>
            </w:pPr>
            <w:r>
              <w:rPr>
                <w:b/>
                <w:bCs/>
                <w:color w:val="FFFFFF"/>
                <w:sz w:val="17"/>
                <w:szCs w:val="17"/>
              </w:rPr>
              <w:t>Section</w:t>
            </w:r>
          </w:p>
        </w:tc>
        <w:tc>
          <w:tcPr>
            <w:tcW w:w="800" w:type="dxa"/>
            <w:tcBorders>
              <w:top w:val="single" w:sz="1" w:space="0" w:color="0D2137"/>
              <w:left w:val="single" w:sz="1" w:space="0" w:color="0D2137"/>
              <w:bottom w:val="single" w:sz="1" w:space="0" w:color="0D2137"/>
              <w:right w:val="single" w:sz="1" w:space="0" w:color="0D2137"/>
            </w:tcBorders>
            <w:shd w:val="clear" w:color="auto" w:fill="1E3A5F"/>
            <w:tcMar>
              <w:top w:w="80" w:type="dxa"/>
              <w:left w:w="80" w:type="dxa"/>
              <w:bottom w:w="80" w:type="dxa"/>
              <w:right w:w="80" w:type="dxa"/>
            </w:tcMar>
          </w:tcPr>
          <w:p w14:paraId="60E04E22" w14:textId="77777777" w:rsidR="00CC7514" w:rsidRDefault="00000000">
            <w:pPr>
              <w:jc w:val="center"/>
            </w:pPr>
            <w:proofErr w:type="spellStart"/>
            <w:r>
              <w:rPr>
                <w:b/>
                <w:bCs/>
                <w:color w:val="FFFFFF"/>
                <w:sz w:val="17"/>
                <w:szCs w:val="17"/>
              </w:rPr>
              <w:t>Wt</w:t>
            </w:r>
            <w:proofErr w:type="spellEnd"/>
          </w:p>
        </w:tc>
        <w:tc>
          <w:tcPr>
            <w:tcW w:w="800" w:type="dxa"/>
            <w:tcBorders>
              <w:top w:val="single" w:sz="1" w:space="0" w:color="0D2137"/>
              <w:left w:val="single" w:sz="1" w:space="0" w:color="0D2137"/>
              <w:bottom w:val="single" w:sz="1" w:space="0" w:color="0D2137"/>
              <w:right w:val="single" w:sz="1" w:space="0" w:color="0D2137"/>
            </w:tcBorders>
            <w:shd w:val="clear" w:color="auto" w:fill="1E3A5F"/>
            <w:tcMar>
              <w:top w:w="80" w:type="dxa"/>
              <w:left w:w="80" w:type="dxa"/>
              <w:bottom w:w="80" w:type="dxa"/>
              <w:right w:w="80" w:type="dxa"/>
            </w:tcMar>
          </w:tcPr>
          <w:p w14:paraId="57ADC18D" w14:textId="77777777" w:rsidR="00445049" w:rsidRDefault="00445049">
            <w:pPr>
              <w:jc w:val="center"/>
              <w:rPr>
                <w:b/>
                <w:bCs/>
                <w:color w:val="FFFFFF"/>
                <w:sz w:val="17"/>
                <w:szCs w:val="17"/>
              </w:rPr>
            </w:pPr>
            <w:r>
              <w:rPr>
                <w:b/>
                <w:bCs/>
                <w:color w:val="FFFFFF"/>
                <w:sz w:val="17"/>
                <w:szCs w:val="17"/>
              </w:rPr>
              <w:t>Raw</w:t>
            </w:r>
          </w:p>
          <w:p w14:paraId="182268DD" w14:textId="3F81754E" w:rsidR="00CC7514" w:rsidRDefault="00445049">
            <w:pPr>
              <w:jc w:val="center"/>
            </w:pPr>
            <w:r>
              <w:rPr>
                <w:b/>
                <w:bCs/>
                <w:color w:val="FFFFFF"/>
                <w:sz w:val="17"/>
                <w:szCs w:val="17"/>
              </w:rPr>
              <w:t>S</w:t>
            </w:r>
            <w:r w:rsidR="00000000">
              <w:rPr>
                <w:b/>
                <w:bCs/>
                <w:color w:val="FFFFFF"/>
                <w:sz w:val="17"/>
                <w:szCs w:val="17"/>
              </w:rPr>
              <w:t>core</w:t>
            </w:r>
          </w:p>
        </w:tc>
        <w:tc>
          <w:tcPr>
            <w:tcW w:w="800" w:type="dxa"/>
            <w:tcBorders>
              <w:top w:val="single" w:sz="1" w:space="0" w:color="0D2137"/>
              <w:left w:val="single" w:sz="1" w:space="0" w:color="0D2137"/>
              <w:bottom w:val="single" w:sz="1" w:space="0" w:color="0D2137"/>
              <w:right w:val="single" w:sz="1" w:space="0" w:color="0D2137"/>
            </w:tcBorders>
            <w:shd w:val="clear" w:color="auto" w:fill="1E3A5F"/>
            <w:tcMar>
              <w:top w:w="80" w:type="dxa"/>
              <w:left w:w="80" w:type="dxa"/>
              <w:bottom w:w="80" w:type="dxa"/>
              <w:right w:w="80" w:type="dxa"/>
            </w:tcMar>
          </w:tcPr>
          <w:p w14:paraId="7B1D9915" w14:textId="77777777" w:rsidR="00CC7514" w:rsidRDefault="00000000">
            <w:pPr>
              <w:jc w:val="center"/>
            </w:pPr>
            <w:r>
              <w:rPr>
                <w:b/>
                <w:bCs/>
                <w:color w:val="FFFFFF"/>
                <w:sz w:val="17"/>
                <w:szCs w:val="17"/>
              </w:rPr>
              <w:t>Weighted Score</w:t>
            </w:r>
          </w:p>
        </w:tc>
        <w:tc>
          <w:tcPr>
            <w:tcW w:w="1000" w:type="dxa"/>
            <w:tcBorders>
              <w:top w:val="single" w:sz="1" w:space="0" w:color="0D2137"/>
              <w:left w:val="single" w:sz="1" w:space="0" w:color="0D2137"/>
              <w:bottom w:val="single" w:sz="1" w:space="0" w:color="0D2137"/>
              <w:right w:val="single" w:sz="1" w:space="0" w:color="0D2137"/>
            </w:tcBorders>
            <w:shd w:val="clear" w:color="auto" w:fill="1E3A5F"/>
            <w:tcMar>
              <w:top w:w="80" w:type="dxa"/>
              <w:left w:w="80" w:type="dxa"/>
              <w:bottom w:w="80" w:type="dxa"/>
              <w:right w:w="80" w:type="dxa"/>
            </w:tcMar>
          </w:tcPr>
          <w:p w14:paraId="3986C0AD" w14:textId="77777777" w:rsidR="00CC7514" w:rsidRDefault="00000000">
            <w:pPr>
              <w:jc w:val="center"/>
            </w:pPr>
            <w:r>
              <w:rPr>
                <w:b/>
                <w:bCs/>
                <w:color w:val="FFFFFF"/>
                <w:sz w:val="17"/>
                <w:szCs w:val="17"/>
              </w:rPr>
              <w:t>Max Possible</w:t>
            </w:r>
          </w:p>
        </w:tc>
        <w:tc>
          <w:tcPr>
            <w:tcW w:w="800" w:type="dxa"/>
            <w:tcBorders>
              <w:top w:val="single" w:sz="1" w:space="0" w:color="0D2137"/>
              <w:left w:val="single" w:sz="1" w:space="0" w:color="0D2137"/>
              <w:bottom w:val="single" w:sz="1" w:space="0" w:color="0D2137"/>
              <w:right w:val="single" w:sz="1" w:space="0" w:color="0D2137"/>
            </w:tcBorders>
            <w:shd w:val="clear" w:color="auto" w:fill="1E3A5F"/>
            <w:tcMar>
              <w:top w:w="80" w:type="dxa"/>
              <w:left w:w="80" w:type="dxa"/>
              <w:bottom w:w="80" w:type="dxa"/>
              <w:right w:w="80" w:type="dxa"/>
            </w:tcMar>
          </w:tcPr>
          <w:p w14:paraId="019A850B" w14:textId="77777777" w:rsidR="00CC7514" w:rsidRDefault="00000000">
            <w:pPr>
              <w:jc w:val="center"/>
            </w:pPr>
            <w:r>
              <w:rPr>
                <w:b/>
                <w:bCs/>
                <w:color w:val="FFFFFF"/>
                <w:sz w:val="17"/>
                <w:szCs w:val="17"/>
              </w:rPr>
              <w:t>% of Section</w:t>
            </w:r>
          </w:p>
        </w:tc>
        <w:tc>
          <w:tcPr>
            <w:tcW w:w="2080" w:type="dxa"/>
            <w:tcBorders>
              <w:top w:val="single" w:sz="1" w:space="0" w:color="0D2137"/>
              <w:left w:val="single" w:sz="1" w:space="0" w:color="0D2137"/>
              <w:bottom w:val="single" w:sz="1" w:space="0" w:color="0D2137"/>
              <w:right w:val="single" w:sz="1" w:space="0" w:color="0D2137"/>
            </w:tcBorders>
            <w:shd w:val="clear" w:color="auto" w:fill="1E3A5F"/>
            <w:tcMar>
              <w:top w:w="80" w:type="dxa"/>
              <w:left w:w="80" w:type="dxa"/>
              <w:bottom w:w="80" w:type="dxa"/>
              <w:right w:w="80" w:type="dxa"/>
            </w:tcMar>
            <w:vAlign w:val="center"/>
          </w:tcPr>
          <w:p w14:paraId="1FEEA275" w14:textId="6ACEB0C8" w:rsidR="00CC7514" w:rsidRPr="00445049" w:rsidRDefault="00445049" w:rsidP="00445049">
            <w:pPr>
              <w:jc w:val="center"/>
              <w:rPr>
                <w:b/>
                <w:bCs/>
                <w:color w:val="FFFFFF"/>
                <w:sz w:val="17"/>
                <w:szCs w:val="17"/>
              </w:rPr>
            </w:pPr>
            <w:r w:rsidRPr="00445049">
              <w:rPr>
                <w:b/>
                <w:bCs/>
                <w:color w:val="FFFFFF"/>
                <w:sz w:val="17"/>
                <w:szCs w:val="17"/>
              </w:rPr>
              <w:t>Normalized Score</w:t>
            </w:r>
          </w:p>
        </w:tc>
      </w:tr>
      <w:tr w:rsidR="00CC7514" w14:paraId="6222574E" w14:textId="77777777">
        <w:tblPrEx>
          <w:tblCellMar>
            <w:top w:w="0" w:type="dxa"/>
            <w:bottom w:w="0" w:type="dxa"/>
          </w:tblCellMar>
        </w:tblPrEx>
        <w:tc>
          <w:tcPr>
            <w:tcW w:w="3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00" w:type="dxa"/>
              <w:bottom w:w="80" w:type="dxa"/>
              <w:right w:w="80" w:type="dxa"/>
            </w:tcMar>
          </w:tcPr>
          <w:p w14:paraId="11EC8415" w14:textId="77777777" w:rsidR="00CC7514" w:rsidRDefault="00000000">
            <w:r>
              <w:rPr>
                <w:b/>
                <w:bCs/>
                <w:color w:val="0D2137"/>
                <w:sz w:val="18"/>
                <w:szCs w:val="18"/>
              </w:rPr>
              <w:t>A — Zone Architecture Viability</w:t>
            </w:r>
          </w:p>
        </w:tc>
        <w:tc>
          <w:tcPr>
            <w:tcW w:w="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80" w:type="dxa"/>
              <w:bottom w:w="80" w:type="dxa"/>
              <w:right w:w="80" w:type="dxa"/>
            </w:tcMar>
          </w:tcPr>
          <w:p w14:paraId="3993CE6B" w14:textId="77777777" w:rsidR="00CC7514" w:rsidRDefault="00000000">
            <w:pPr>
              <w:jc w:val="center"/>
            </w:pPr>
            <w:r>
              <w:rPr>
                <w:color w:val="374151"/>
                <w:sz w:val="17"/>
                <w:szCs w:val="17"/>
              </w:rPr>
              <w:t>×5/5/4/3/3</w:t>
            </w:r>
          </w:p>
        </w:tc>
        <w:tc>
          <w:tcPr>
            <w:tcW w:w="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7662A437" w14:textId="77777777" w:rsidR="00CC7514" w:rsidRDefault="00CC7514"/>
        </w:tc>
        <w:tc>
          <w:tcPr>
            <w:tcW w:w="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4142C31F" w14:textId="77777777" w:rsidR="00CC7514" w:rsidRDefault="00CC7514"/>
        </w:tc>
        <w:tc>
          <w:tcPr>
            <w:tcW w:w="1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80" w:type="dxa"/>
              <w:bottom w:w="80" w:type="dxa"/>
              <w:right w:w="80" w:type="dxa"/>
            </w:tcMar>
          </w:tcPr>
          <w:p w14:paraId="394460E4" w14:textId="77777777" w:rsidR="00CC7514" w:rsidRDefault="00000000">
            <w:pPr>
              <w:jc w:val="center"/>
            </w:pPr>
            <w:r>
              <w:rPr>
                <w:color w:val="374151"/>
                <w:sz w:val="18"/>
                <w:szCs w:val="18"/>
              </w:rPr>
              <w:t>60</w:t>
            </w:r>
          </w:p>
        </w:tc>
        <w:tc>
          <w:tcPr>
            <w:tcW w:w="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0F45E27F" w14:textId="77777777" w:rsidR="00CC7514" w:rsidRDefault="00CC7514"/>
        </w:tc>
        <w:tc>
          <w:tcPr>
            <w:tcW w:w="20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070EE98C" w14:textId="77777777" w:rsidR="00CC7514" w:rsidRDefault="00CC7514"/>
        </w:tc>
      </w:tr>
      <w:tr w:rsidR="00CC7514" w14:paraId="0A1350E0" w14:textId="77777777">
        <w:tblPrEx>
          <w:tblCellMar>
            <w:top w:w="0" w:type="dxa"/>
            <w:bottom w:w="0" w:type="dxa"/>
          </w:tblCellMar>
        </w:tblPrEx>
        <w:tc>
          <w:tcPr>
            <w:tcW w:w="3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100" w:type="dxa"/>
              <w:bottom w:w="80" w:type="dxa"/>
              <w:right w:w="80" w:type="dxa"/>
            </w:tcMar>
          </w:tcPr>
          <w:p w14:paraId="5A7C350F" w14:textId="77777777" w:rsidR="00CC7514" w:rsidRDefault="00000000">
            <w:r>
              <w:rPr>
                <w:b/>
                <w:bCs/>
                <w:color w:val="0D2137"/>
                <w:sz w:val="18"/>
                <w:szCs w:val="18"/>
              </w:rPr>
              <w:t>B — Policy Layer Density</w:t>
            </w:r>
          </w:p>
        </w:tc>
        <w:tc>
          <w:tcPr>
            <w:tcW w:w="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6A0C659A" w14:textId="77777777" w:rsidR="00CC7514" w:rsidRDefault="00000000">
            <w:pPr>
              <w:jc w:val="center"/>
            </w:pPr>
            <w:r>
              <w:rPr>
                <w:color w:val="374151"/>
                <w:sz w:val="17"/>
                <w:szCs w:val="17"/>
              </w:rPr>
              <w:t>×5/4/4/3/2</w:t>
            </w:r>
          </w:p>
        </w:tc>
        <w:tc>
          <w:tcPr>
            <w:tcW w:w="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78A2A706" w14:textId="77777777" w:rsidR="00CC7514" w:rsidRDefault="00CC7514"/>
        </w:tc>
        <w:tc>
          <w:tcPr>
            <w:tcW w:w="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12EE8878" w14:textId="77777777" w:rsidR="00CC7514" w:rsidRDefault="00CC7514"/>
        </w:tc>
        <w:tc>
          <w:tcPr>
            <w:tcW w:w="10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63F61DA9" w14:textId="77777777" w:rsidR="00CC7514" w:rsidRDefault="00000000">
            <w:pPr>
              <w:jc w:val="center"/>
            </w:pPr>
            <w:r>
              <w:rPr>
                <w:color w:val="374151"/>
                <w:sz w:val="18"/>
                <w:szCs w:val="18"/>
              </w:rPr>
              <w:t>54</w:t>
            </w:r>
          </w:p>
        </w:tc>
        <w:tc>
          <w:tcPr>
            <w:tcW w:w="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73DCD3D4" w14:textId="77777777" w:rsidR="00CC7514" w:rsidRDefault="00CC7514"/>
        </w:tc>
        <w:tc>
          <w:tcPr>
            <w:tcW w:w="20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79B75A62" w14:textId="77777777" w:rsidR="00CC7514" w:rsidRDefault="00CC7514"/>
        </w:tc>
      </w:tr>
      <w:tr w:rsidR="00CC7514" w14:paraId="61048612" w14:textId="77777777">
        <w:tblPrEx>
          <w:tblCellMar>
            <w:top w:w="0" w:type="dxa"/>
            <w:bottom w:w="0" w:type="dxa"/>
          </w:tblCellMar>
        </w:tblPrEx>
        <w:tc>
          <w:tcPr>
            <w:tcW w:w="3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00" w:type="dxa"/>
              <w:bottom w:w="80" w:type="dxa"/>
              <w:right w:w="80" w:type="dxa"/>
            </w:tcMar>
          </w:tcPr>
          <w:p w14:paraId="22124AD0" w14:textId="77777777" w:rsidR="00CC7514" w:rsidRDefault="00000000">
            <w:r>
              <w:rPr>
                <w:b/>
                <w:bCs/>
                <w:color w:val="0D2137"/>
                <w:sz w:val="18"/>
                <w:szCs w:val="18"/>
              </w:rPr>
              <w:t>C — Edge AI Integration Fit</w:t>
            </w:r>
          </w:p>
        </w:tc>
        <w:tc>
          <w:tcPr>
            <w:tcW w:w="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80" w:type="dxa"/>
              <w:bottom w:w="80" w:type="dxa"/>
              <w:right w:w="80" w:type="dxa"/>
            </w:tcMar>
          </w:tcPr>
          <w:p w14:paraId="32CCD233" w14:textId="77777777" w:rsidR="00CC7514" w:rsidRDefault="00000000">
            <w:pPr>
              <w:jc w:val="center"/>
            </w:pPr>
            <w:r>
              <w:rPr>
                <w:color w:val="374151"/>
                <w:sz w:val="17"/>
                <w:szCs w:val="17"/>
              </w:rPr>
              <w:t>×5/5/4/4/3/3/3</w:t>
            </w:r>
          </w:p>
        </w:tc>
        <w:tc>
          <w:tcPr>
            <w:tcW w:w="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76A8B0B0" w14:textId="77777777" w:rsidR="00CC7514" w:rsidRDefault="00CC7514"/>
        </w:tc>
        <w:tc>
          <w:tcPr>
            <w:tcW w:w="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408F38B0" w14:textId="77777777" w:rsidR="00CC7514" w:rsidRDefault="00CC7514"/>
        </w:tc>
        <w:tc>
          <w:tcPr>
            <w:tcW w:w="1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80" w:type="dxa"/>
              <w:bottom w:w="80" w:type="dxa"/>
              <w:right w:w="80" w:type="dxa"/>
            </w:tcMar>
          </w:tcPr>
          <w:p w14:paraId="517E8F61" w14:textId="77777777" w:rsidR="00CC7514" w:rsidRDefault="00000000">
            <w:pPr>
              <w:jc w:val="center"/>
            </w:pPr>
            <w:r>
              <w:rPr>
                <w:color w:val="374151"/>
                <w:sz w:val="18"/>
                <w:szCs w:val="18"/>
              </w:rPr>
              <w:t>81</w:t>
            </w:r>
          </w:p>
        </w:tc>
        <w:tc>
          <w:tcPr>
            <w:tcW w:w="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7F4F551A" w14:textId="77777777" w:rsidR="00CC7514" w:rsidRDefault="00CC7514"/>
        </w:tc>
        <w:tc>
          <w:tcPr>
            <w:tcW w:w="20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2180B09F" w14:textId="77777777" w:rsidR="00CC7514" w:rsidRDefault="00CC7514"/>
        </w:tc>
      </w:tr>
      <w:tr w:rsidR="00CC7514" w14:paraId="6586D5A0" w14:textId="77777777">
        <w:tblPrEx>
          <w:tblCellMar>
            <w:top w:w="0" w:type="dxa"/>
            <w:bottom w:w="0" w:type="dxa"/>
          </w:tblCellMar>
        </w:tblPrEx>
        <w:tc>
          <w:tcPr>
            <w:tcW w:w="3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100" w:type="dxa"/>
              <w:bottom w:w="80" w:type="dxa"/>
              <w:right w:w="80" w:type="dxa"/>
            </w:tcMar>
          </w:tcPr>
          <w:p w14:paraId="0598573B" w14:textId="77777777" w:rsidR="00CC7514" w:rsidRDefault="00000000">
            <w:r>
              <w:rPr>
                <w:b/>
                <w:bCs/>
                <w:color w:val="0D2137"/>
                <w:sz w:val="18"/>
                <w:szCs w:val="18"/>
              </w:rPr>
              <w:t>D — Operational Reporting</w:t>
            </w:r>
          </w:p>
        </w:tc>
        <w:tc>
          <w:tcPr>
            <w:tcW w:w="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40571B1F" w14:textId="77777777" w:rsidR="00CC7514" w:rsidRDefault="00000000">
            <w:pPr>
              <w:jc w:val="center"/>
            </w:pPr>
            <w:r>
              <w:rPr>
                <w:color w:val="374151"/>
                <w:sz w:val="17"/>
                <w:szCs w:val="17"/>
              </w:rPr>
              <w:t>×4/3/2/3</w:t>
            </w:r>
          </w:p>
        </w:tc>
        <w:tc>
          <w:tcPr>
            <w:tcW w:w="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68B83FF0" w14:textId="77777777" w:rsidR="00CC7514" w:rsidRDefault="00CC7514"/>
        </w:tc>
        <w:tc>
          <w:tcPr>
            <w:tcW w:w="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7F79C58E" w14:textId="77777777" w:rsidR="00CC7514" w:rsidRDefault="00CC7514"/>
        </w:tc>
        <w:tc>
          <w:tcPr>
            <w:tcW w:w="10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7D9CE3F3" w14:textId="77777777" w:rsidR="00CC7514" w:rsidRDefault="00000000">
            <w:pPr>
              <w:jc w:val="center"/>
            </w:pPr>
            <w:r>
              <w:rPr>
                <w:color w:val="374151"/>
                <w:sz w:val="18"/>
                <w:szCs w:val="18"/>
              </w:rPr>
              <w:t>36</w:t>
            </w:r>
          </w:p>
        </w:tc>
        <w:tc>
          <w:tcPr>
            <w:tcW w:w="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06E1DBCA" w14:textId="77777777" w:rsidR="00CC7514" w:rsidRDefault="00CC7514"/>
        </w:tc>
        <w:tc>
          <w:tcPr>
            <w:tcW w:w="20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21B98743" w14:textId="77777777" w:rsidR="00CC7514" w:rsidRDefault="00CC7514"/>
        </w:tc>
      </w:tr>
      <w:tr w:rsidR="00CC7514" w14:paraId="178A3F62" w14:textId="77777777">
        <w:tblPrEx>
          <w:tblCellMar>
            <w:top w:w="0" w:type="dxa"/>
            <w:bottom w:w="0" w:type="dxa"/>
          </w:tblCellMar>
        </w:tblPrEx>
        <w:tc>
          <w:tcPr>
            <w:tcW w:w="3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00" w:type="dxa"/>
              <w:bottom w:w="80" w:type="dxa"/>
              <w:right w:w="80" w:type="dxa"/>
            </w:tcMar>
          </w:tcPr>
          <w:p w14:paraId="00BE557D" w14:textId="77777777" w:rsidR="00CC7514" w:rsidRDefault="00000000">
            <w:r>
              <w:rPr>
                <w:b/>
                <w:bCs/>
                <w:color w:val="0D2137"/>
                <w:sz w:val="18"/>
                <w:szCs w:val="18"/>
              </w:rPr>
              <w:t>E — Commercial Viability</w:t>
            </w:r>
          </w:p>
        </w:tc>
        <w:tc>
          <w:tcPr>
            <w:tcW w:w="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80" w:type="dxa"/>
              <w:bottom w:w="80" w:type="dxa"/>
              <w:right w:w="80" w:type="dxa"/>
            </w:tcMar>
          </w:tcPr>
          <w:p w14:paraId="20E24147" w14:textId="77777777" w:rsidR="00CC7514" w:rsidRDefault="00000000">
            <w:pPr>
              <w:jc w:val="center"/>
            </w:pPr>
            <w:r>
              <w:rPr>
                <w:color w:val="374151"/>
                <w:sz w:val="17"/>
                <w:szCs w:val="17"/>
              </w:rPr>
              <w:t>×5/4/3/3/2/2</w:t>
            </w:r>
          </w:p>
        </w:tc>
        <w:tc>
          <w:tcPr>
            <w:tcW w:w="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22EF025C" w14:textId="77777777" w:rsidR="00CC7514" w:rsidRDefault="00CC7514"/>
        </w:tc>
        <w:tc>
          <w:tcPr>
            <w:tcW w:w="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463A3FED" w14:textId="77777777" w:rsidR="00CC7514" w:rsidRDefault="00CC7514"/>
        </w:tc>
        <w:tc>
          <w:tcPr>
            <w:tcW w:w="1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80" w:type="dxa"/>
              <w:bottom w:w="80" w:type="dxa"/>
              <w:right w:w="80" w:type="dxa"/>
            </w:tcMar>
          </w:tcPr>
          <w:p w14:paraId="43B347A5" w14:textId="77777777" w:rsidR="00CC7514" w:rsidRDefault="00000000">
            <w:pPr>
              <w:jc w:val="center"/>
            </w:pPr>
            <w:r>
              <w:rPr>
                <w:color w:val="374151"/>
                <w:sz w:val="18"/>
                <w:szCs w:val="18"/>
              </w:rPr>
              <w:t>57</w:t>
            </w:r>
          </w:p>
        </w:tc>
        <w:tc>
          <w:tcPr>
            <w:tcW w:w="80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4FD04D52" w14:textId="77777777" w:rsidR="00CC7514" w:rsidRDefault="00CC7514"/>
        </w:tc>
        <w:tc>
          <w:tcPr>
            <w:tcW w:w="2080" w:type="dxa"/>
            <w:tcBorders>
              <w:top w:val="single" w:sz="1" w:space="0" w:color="D1D5DB"/>
              <w:left w:val="single" w:sz="1" w:space="0" w:color="D1D5DB"/>
              <w:bottom w:val="single" w:sz="1" w:space="0" w:color="D1D5DB"/>
              <w:right w:val="single" w:sz="1" w:space="0" w:color="D1D5DB"/>
            </w:tcBorders>
            <w:shd w:val="clear" w:color="auto" w:fill="F3F4F6"/>
            <w:tcMar>
              <w:top w:w="80" w:type="dxa"/>
              <w:left w:w="80" w:type="dxa"/>
              <w:bottom w:w="80" w:type="dxa"/>
              <w:right w:w="80" w:type="dxa"/>
            </w:tcMar>
          </w:tcPr>
          <w:p w14:paraId="05332E77" w14:textId="77777777" w:rsidR="00CC7514" w:rsidRDefault="00CC7514"/>
        </w:tc>
      </w:tr>
      <w:tr w:rsidR="00CC7514" w14:paraId="74160082" w14:textId="77777777">
        <w:tblPrEx>
          <w:tblCellMar>
            <w:top w:w="0" w:type="dxa"/>
            <w:bottom w:w="0" w:type="dxa"/>
          </w:tblCellMar>
        </w:tblPrEx>
        <w:tc>
          <w:tcPr>
            <w:tcW w:w="3800" w:type="dxa"/>
            <w:tcBorders>
              <w:top w:val="single" w:sz="1" w:space="0" w:color="0D2137"/>
              <w:left w:val="single" w:sz="1" w:space="0" w:color="0D2137"/>
              <w:bottom w:val="single" w:sz="1" w:space="0" w:color="0D2137"/>
              <w:right w:val="single" w:sz="1" w:space="0" w:color="0D2137"/>
            </w:tcBorders>
            <w:shd w:val="clear" w:color="auto" w:fill="0D2137"/>
            <w:tcMar>
              <w:top w:w="80" w:type="dxa"/>
              <w:left w:w="100" w:type="dxa"/>
              <w:bottom w:w="80" w:type="dxa"/>
              <w:right w:w="80" w:type="dxa"/>
            </w:tcMar>
          </w:tcPr>
          <w:p w14:paraId="2DAE5643" w14:textId="77777777" w:rsidR="00CC7514" w:rsidRDefault="00000000">
            <w:r>
              <w:rPr>
                <w:b/>
                <w:bCs/>
                <w:color w:val="FFFFFF"/>
                <w:sz w:val="19"/>
                <w:szCs w:val="19"/>
              </w:rPr>
              <w:t>TOTAL SCORE</w:t>
            </w:r>
          </w:p>
        </w:tc>
        <w:tc>
          <w:tcPr>
            <w:tcW w:w="800" w:type="dxa"/>
            <w:tcBorders>
              <w:top w:val="single" w:sz="1" w:space="0" w:color="0D2137"/>
              <w:left w:val="single" w:sz="1" w:space="0" w:color="0D2137"/>
              <w:bottom w:val="single" w:sz="1" w:space="0" w:color="0D2137"/>
              <w:right w:val="single" w:sz="1" w:space="0" w:color="0D2137"/>
            </w:tcBorders>
            <w:shd w:val="clear" w:color="auto" w:fill="0D2137"/>
            <w:tcMar>
              <w:top w:w="80" w:type="dxa"/>
              <w:left w:w="80" w:type="dxa"/>
              <w:bottom w:w="80" w:type="dxa"/>
              <w:right w:w="80" w:type="dxa"/>
            </w:tcMar>
          </w:tcPr>
          <w:p w14:paraId="14302302" w14:textId="77777777" w:rsidR="00CC7514" w:rsidRDefault="00CC7514"/>
        </w:tc>
        <w:tc>
          <w:tcPr>
            <w:tcW w:w="800" w:type="dxa"/>
            <w:tcBorders>
              <w:top w:val="single" w:sz="1" w:space="0" w:color="0D2137"/>
              <w:left w:val="single" w:sz="1" w:space="0" w:color="0D2137"/>
              <w:bottom w:val="single" w:sz="1" w:space="0" w:color="0D2137"/>
              <w:right w:val="single" w:sz="1" w:space="0" w:color="0D2137"/>
            </w:tcBorders>
            <w:shd w:val="clear" w:color="auto" w:fill="FEF3C7"/>
            <w:tcMar>
              <w:top w:w="80" w:type="dxa"/>
              <w:left w:w="80" w:type="dxa"/>
              <w:bottom w:w="80" w:type="dxa"/>
              <w:right w:w="80" w:type="dxa"/>
            </w:tcMar>
          </w:tcPr>
          <w:p w14:paraId="15BBAEF7" w14:textId="77777777" w:rsidR="00CC7514" w:rsidRDefault="00CC7514"/>
        </w:tc>
        <w:tc>
          <w:tcPr>
            <w:tcW w:w="800" w:type="dxa"/>
            <w:tcBorders>
              <w:top w:val="single" w:sz="1" w:space="0" w:color="0D2137"/>
              <w:left w:val="single" w:sz="1" w:space="0" w:color="0D2137"/>
              <w:bottom w:val="single" w:sz="1" w:space="0" w:color="0D2137"/>
              <w:right w:val="single" w:sz="1" w:space="0" w:color="0D2137"/>
            </w:tcBorders>
            <w:shd w:val="clear" w:color="auto" w:fill="FEF3C7"/>
            <w:tcMar>
              <w:top w:w="80" w:type="dxa"/>
              <w:left w:w="80" w:type="dxa"/>
              <w:bottom w:w="80" w:type="dxa"/>
              <w:right w:w="80" w:type="dxa"/>
            </w:tcMar>
          </w:tcPr>
          <w:p w14:paraId="5C33E5C9" w14:textId="77777777" w:rsidR="00CC7514" w:rsidRDefault="00CC7514"/>
        </w:tc>
        <w:tc>
          <w:tcPr>
            <w:tcW w:w="1000" w:type="dxa"/>
            <w:tcBorders>
              <w:top w:val="single" w:sz="1" w:space="0" w:color="0D2137"/>
              <w:left w:val="single" w:sz="1" w:space="0" w:color="0D2137"/>
              <w:bottom w:val="single" w:sz="1" w:space="0" w:color="0D2137"/>
              <w:right w:val="single" w:sz="1" w:space="0" w:color="0D2137"/>
            </w:tcBorders>
            <w:shd w:val="clear" w:color="auto" w:fill="0D2137"/>
            <w:tcMar>
              <w:top w:w="80" w:type="dxa"/>
              <w:left w:w="80" w:type="dxa"/>
              <w:bottom w:w="80" w:type="dxa"/>
              <w:right w:w="80" w:type="dxa"/>
            </w:tcMar>
          </w:tcPr>
          <w:p w14:paraId="4E0348BA" w14:textId="77777777" w:rsidR="00CC7514" w:rsidRDefault="00000000">
            <w:pPr>
              <w:jc w:val="center"/>
            </w:pPr>
            <w:r>
              <w:rPr>
                <w:b/>
                <w:bCs/>
                <w:color w:val="FFFFFF"/>
                <w:sz w:val="19"/>
                <w:szCs w:val="19"/>
              </w:rPr>
              <w:t>288</w:t>
            </w:r>
          </w:p>
        </w:tc>
        <w:tc>
          <w:tcPr>
            <w:tcW w:w="800" w:type="dxa"/>
            <w:tcBorders>
              <w:top w:val="single" w:sz="1" w:space="0" w:color="0D2137"/>
              <w:left w:val="single" w:sz="1" w:space="0" w:color="0D2137"/>
              <w:bottom w:val="single" w:sz="1" w:space="0" w:color="0D2137"/>
              <w:right w:val="single" w:sz="1" w:space="0" w:color="0D2137"/>
            </w:tcBorders>
            <w:shd w:val="clear" w:color="auto" w:fill="FEF3C7"/>
            <w:tcMar>
              <w:top w:w="80" w:type="dxa"/>
              <w:left w:w="80" w:type="dxa"/>
              <w:bottom w:w="80" w:type="dxa"/>
              <w:right w:w="80" w:type="dxa"/>
            </w:tcMar>
          </w:tcPr>
          <w:p w14:paraId="6F09F94F" w14:textId="77777777" w:rsidR="00CC7514" w:rsidRDefault="00CC7514"/>
        </w:tc>
        <w:tc>
          <w:tcPr>
            <w:tcW w:w="2080" w:type="dxa"/>
            <w:tcBorders>
              <w:top w:val="single" w:sz="1" w:space="0" w:color="0D2137"/>
              <w:left w:val="single" w:sz="1" w:space="0" w:color="0D2137"/>
              <w:bottom w:val="single" w:sz="1" w:space="0" w:color="0D2137"/>
              <w:right w:val="single" w:sz="1" w:space="0" w:color="0D2137"/>
            </w:tcBorders>
            <w:shd w:val="clear" w:color="auto" w:fill="0D2137"/>
            <w:tcMar>
              <w:top w:w="80" w:type="dxa"/>
              <w:left w:w="80" w:type="dxa"/>
              <w:bottom w:w="80" w:type="dxa"/>
              <w:right w:w="80" w:type="dxa"/>
            </w:tcMar>
          </w:tcPr>
          <w:p w14:paraId="6CAE418F" w14:textId="77777777" w:rsidR="00CC7514" w:rsidRDefault="00000000">
            <w:r>
              <w:rPr>
                <w:color w:val="FFFFFF"/>
                <w:sz w:val="18"/>
                <w:szCs w:val="18"/>
              </w:rPr>
              <w:t>Rating: _______________</w:t>
            </w:r>
          </w:p>
        </w:tc>
      </w:tr>
    </w:tbl>
    <w:p w14:paraId="0B1E7B48" w14:textId="77777777" w:rsidR="00CC7514" w:rsidRDefault="00CC7514">
      <w:pPr>
        <w:spacing w:before="4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CC7514" w14:paraId="726BB854"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0D2137"/>
            <w:tcMar>
              <w:top w:w="140" w:type="dxa"/>
              <w:left w:w="180" w:type="dxa"/>
              <w:bottom w:w="100" w:type="dxa"/>
              <w:right w:w="180" w:type="dxa"/>
            </w:tcMar>
          </w:tcPr>
          <w:p w14:paraId="2B6C3CF8" w14:textId="77777777" w:rsidR="00CC7514" w:rsidRDefault="00000000">
            <w:r>
              <w:rPr>
                <w:b/>
                <w:bCs/>
                <w:color w:val="FFFFFF"/>
                <w:sz w:val="26"/>
                <w:szCs w:val="26"/>
              </w:rPr>
              <w:t>RECOMMENDATION BANDS</w:t>
            </w:r>
          </w:p>
        </w:tc>
      </w:tr>
    </w:tbl>
    <w:p w14:paraId="298B5E3C" w14:textId="77777777" w:rsidR="00CC7514" w:rsidRDefault="00CC7514">
      <w:pPr>
        <w:spacing w:before="2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4"/>
        <w:gridCol w:w="2442"/>
        <w:gridCol w:w="6084"/>
      </w:tblGrid>
      <w:tr w:rsidR="00CC7514" w14:paraId="68C8F5F0" w14:textId="77777777">
        <w:tblPrEx>
          <w:tblCellMar>
            <w:top w:w="0" w:type="dxa"/>
            <w:bottom w:w="0" w:type="dxa"/>
          </w:tblCellMar>
        </w:tblPrEx>
        <w:tc>
          <w:tcPr>
            <w:tcW w:w="1400" w:type="dxa"/>
            <w:tcBorders>
              <w:top w:val="single" w:sz="1" w:space="0" w:color="0D2137"/>
              <w:left w:val="single" w:sz="1" w:space="0" w:color="0D2137"/>
              <w:bottom w:val="single" w:sz="1" w:space="0" w:color="0D2137"/>
              <w:right w:val="single" w:sz="1" w:space="0" w:color="0D2137"/>
            </w:tcBorders>
            <w:shd w:val="clear" w:color="auto" w:fill="1E3A5F"/>
            <w:tcMar>
              <w:top w:w="80" w:type="dxa"/>
              <w:left w:w="100" w:type="dxa"/>
              <w:bottom w:w="80" w:type="dxa"/>
              <w:right w:w="80" w:type="dxa"/>
            </w:tcMar>
          </w:tcPr>
          <w:p w14:paraId="62AAF70A" w14:textId="77777777" w:rsidR="00CC7514" w:rsidRDefault="00000000">
            <w:r>
              <w:rPr>
                <w:b/>
                <w:bCs/>
                <w:color w:val="FFFFFF"/>
                <w:sz w:val="19"/>
                <w:szCs w:val="19"/>
              </w:rPr>
              <w:t>Score Range</w:t>
            </w:r>
          </w:p>
        </w:tc>
        <w:tc>
          <w:tcPr>
            <w:tcW w:w="2200" w:type="dxa"/>
            <w:tcBorders>
              <w:top w:val="single" w:sz="1" w:space="0" w:color="0D2137"/>
              <w:left w:val="single" w:sz="1" w:space="0" w:color="0D2137"/>
              <w:bottom w:val="single" w:sz="1" w:space="0" w:color="0D2137"/>
              <w:right w:val="single" w:sz="1" w:space="0" w:color="0D2137"/>
            </w:tcBorders>
            <w:shd w:val="clear" w:color="auto" w:fill="1E3A5F"/>
            <w:tcMar>
              <w:top w:w="80" w:type="dxa"/>
              <w:left w:w="100" w:type="dxa"/>
              <w:bottom w:w="80" w:type="dxa"/>
              <w:right w:w="80" w:type="dxa"/>
            </w:tcMar>
          </w:tcPr>
          <w:p w14:paraId="53D43344" w14:textId="77777777" w:rsidR="00CC7514" w:rsidRDefault="00000000">
            <w:r>
              <w:rPr>
                <w:b/>
                <w:bCs/>
                <w:color w:val="FFFFFF"/>
                <w:sz w:val="19"/>
                <w:szCs w:val="19"/>
              </w:rPr>
              <w:t>Rating</w:t>
            </w:r>
          </w:p>
        </w:tc>
        <w:tc>
          <w:tcPr>
            <w:tcW w:w="5480" w:type="dxa"/>
            <w:tcBorders>
              <w:top w:val="single" w:sz="1" w:space="0" w:color="0D2137"/>
              <w:left w:val="single" w:sz="1" w:space="0" w:color="0D2137"/>
              <w:bottom w:val="single" w:sz="1" w:space="0" w:color="0D2137"/>
              <w:right w:val="single" w:sz="1" w:space="0" w:color="0D2137"/>
            </w:tcBorders>
            <w:shd w:val="clear" w:color="auto" w:fill="1E3A5F"/>
            <w:tcMar>
              <w:top w:w="80" w:type="dxa"/>
              <w:left w:w="100" w:type="dxa"/>
              <w:bottom w:w="80" w:type="dxa"/>
              <w:right w:w="80" w:type="dxa"/>
            </w:tcMar>
          </w:tcPr>
          <w:p w14:paraId="0EBFA27B" w14:textId="77777777" w:rsidR="00CC7514" w:rsidRDefault="00000000">
            <w:r>
              <w:rPr>
                <w:b/>
                <w:bCs/>
                <w:color w:val="FFFFFF"/>
                <w:sz w:val="19"/>
                <w:szCs w:val="19"/>
              </w:rPr>
              <w:t>Guidance</w:t>
            </w:r>
          </w:p>
        </w:tc>
      </w:tr>
      <w:tr w:rsidR="00CC7514" w14:paraId="5558E30B" w14:textId="77777777">
        <w:tblPrEx>
          <w:tblCellMar>
            <w:top w:w="0" w:type="dxa"/>
            <w:bottom w:w="0" w:type="dxa"/>
          </w:tblCellMar>
        </w:tblPrEx>
        <w:tc>
          <w:tcPr>
            <w:tcW w:w="1400" w:type="dxa"/>
            <w:tcBorders>
              <w:top w:val="single" w:sz="1" w:space="0" w:color="D1D5DB"/>
              <w:left w:val="single" w:sz="1" w:space="0" w:color="D1D5DB"/>
              <w:bottom w:val="single" w:sz="1" w:space="0" w:color="D1D5DB"/>
              <w:right w:val="single" w:sz="1" w:space="0" w:color="D1D5DB"/>
            </w:tcBorders>
            <w:shd w:val="clear" w:color="auto" w:fill="D1FAE5"/>
            <w:tcMar>
              <w:top w:w="80" w:type="dxa"/>
              <w:left w:w="100" w:type="dxa"/>
              <w:bottom w:w="80" w:type="dxa"/>
              <w:right w:w="80" w:type="dxa"/>
            </w:tcMar>
          </w:tcPr>
          <w:p w14:paraId="008FED4E" w14:textId="77777777" w:rsidR="00CC7514" w:rsidRDefault="00000000">
            <w:pPr>
              <w:jc w:val="center"/>
            </w:pPr>
            <w:r>
              <w:rPr>
                <w:b/>
                <w:bCs/>
                <w:color w:val="166534"/>
                <w:sz w:val="19"/>
                <w:szCs w:val="19"/>
              </w:rPr>
              <w:t>85 – 100</w:t>
            </w:r>
          </w:p>
        </w:tc>
        <w:tc>
          <w:tcPr>
            <w:tcW w:w="2200" w:type="dxa"/>
            <w:tcBorders>
              <w:top w:val="single" w:sz="1" w:space="0" w:color="D1D5DB"/>
              <w:left w:val="single" w:sz="1" w:space="0" w:color="D1D5DB"/>
              <w:bottom w:val="single" w:sz="1" w:space="0" w:color="D1D5DB"/>
              <w:right w:val="single" w:sz="1" w:space="0" w:color="D1D5DB"/>
            </w:tcBorders>
            <w:shd w:val="clear" w:color="auto" w:fill="D1FAE5"/>
            <w:tcMar>
              <w:top w:w="80" w:type="dxa"/>
              <w:left w:w="100" w:type="dxa"/>
              <w:bottom w:w="80" w:type="dxa"/>
              <w:right w:w="80" w:type="dxa"/>
            </w:tcMar>
          </w:tcPr>
          <w:p w14:paraId="2C8F7924" w14:textId="77777777" w:rsidR="00CC7514" w:rsidRDefault="00000000">
            <w:r>
              <w:rPr>
                <w:b/>
                <w:bCs/>
                <w:color w:val="166534"/>
                <w:sz w:val="19"/>
                <w:szCs w:val="19"/>
              </w:rPr>
              <w:t>Ideal Candidate</w:t>
            </w:r>
          </w:p>
        </w:tc>
        <w:tc>
          <w:tcPr>
            <w:tcW w:w="548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00" w:type="dxa"/>
              <w:bottom w:w="80" w:type="dxa"/>
              <w:right w:w="80" w:type="dxa"/>
            </w:tcMar>
          </w:tcPr>
          <w:p w14:paraId="17272F93" w14:textId="77777777" w:rsidR="00CC7514" w:rsidRDefault="00000000">
            <w:r>
              <w:rPr>
                <w:color w:val="374151"/>
                <w:sz w:val="19"/>
                <w:szCs w:val="19"/>
              </w:rPr>
              <w:t>Strong fit across all dimensions. Prioritise for implementation.</w:t>
            </w:r>
          </w:p>
        </w:tc>
      </w:tr>
      <w:tr w:rsidR="00CC7514" w14:paraId="54EAC913" w14:textId="77777777">
        <w:tblPrEx>
          <w:tblCellMar>
            <w:top w:w="0" w:type="dxa"/>
            <w:bottom w:w="0" w:type="dxa"/>
          </w:tblCellMar>
        </w:tblPrEx>
        <w:tc>
          <w:tcPr>
            <w:tcW w:w="1400" w:type="dxa"/>
            <w:tcBorders>
              <w:top w:val="single" w:sz="1" w:space="0" w:color="D1D5DB"/>
              <w:left w:val="single" w:sz="1" w:space="0" w:color="D1D5DB"/>
              <w:bottom w:val="single" w:sz="1" w:space="0" w:color="D1D5DB"/>
              <w:right w:val="single" w:sz="1" w:space="0" w:color="D1D5DB"/>
            </w:tcBorders>
            <w:shd w:val="clear" w:color="auto" w:fill="DCFCE7"/>
            <w:tcMar>
              <w:top w:w="80" w:type="dxa"/>
              <w:left w:w="100" w:type="dxa"/>
              <w:bottom w:w="80" w:type="dxa"/>
              <w:right w:w="80" w:type="dxa"/>
            </w:tcMar>
          </w:tcPr>
          <w:p w14:paraId="4E0B0DE0" w14:textId="77777777" w:rsidR="00CC7514" w:rsidRDefault="00000000">
            <w:pPr>
              <w:jc w:val="center"/>
            </w:pPr>
            <w:r>
              <w:rPr>
                <w:b/>
                <w:bCs/>
                <w:color w:val="166534"/>
                <w:sz w:val="19"/>
                <w:szCs w:val="19"/>
              </w:rPr>
              <w:t>65 – 84</w:t>
            </w:r>
          </w:p>
        </w:tc>
        <w:tc>
          <w:tcPr>
            <w:tcW w:w="2200" w:type="dxa"/>
            <w:tcBorders>
              <w:top w:val="single" w:sz="1" w:space="0" w:color="D1D5DB"/>
              <w:left w:val="single" w:sz="1" w:space="0" w:color="D1D5DB"/>
              <w:bottom w:val="single" w:sz="1" w:space="0" w:color="D1D5DB"/>
              <w:right w:val="single" w:sz="1" w:space="0" w:color="D1D5DB"/>
            </w:tcBorders>
            <w:shd w:val="clear" w:color="auto" w:fill="DCFCE7"/>
            <w:tcMar>
              <w:top w:w="80" w:type="dxa"/>
              <w:left w:w="100" w:type="dxa"/>
              <w:bottom w:w="80" w:type="dxa"/>
              <w:right w:w="80" w:type="dxa"/>
            </w:tcMar>
          </w:tcPr>
          <w:p w14:paraId="192029B0" w14:textId="77777777" w:rsidR="00CC7514" w:rsidRDefault="00000000">
            <w:r>
              <w:rPr>
                <w:b/>
                <w:bCs/>
                <w:color w:val="166534"/>
                <w:sz w:val="19"/>
                <w:szCs w:val="19"/>
              </w:rPr>
              <w:t>Good Candidate</w:t>
            </w:r>
          </w:p>
        </w:tc>
        <w:tc>
          <w:tcPr>
            <w:tcW w:w="548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00" w:type="dxa"/>
              <w:bottom w:w="80" w:type="dxa"/>
              <w:right w:w="80" w:type="dxa"/>
            </w:tcMar>
          </w:tcPr>
          <w:p w14:paraId="01EBFA37" w14:textId="77777777" w:rsidR="00CC7514" w:rsidRDefault="00000000">
            <w:r>
              <w:rPr>
                <w:color w:val="374151"/>
                <w:sz w:val="19"/>
                <w:szCs w:val="19"/>
              </w:rPr>
              <w:t>Sound fit. Address flagged gaps in scoping phase before committing.</w:t>
            </w:r>
          </w:p>
        </w:tc>
      </w:tr>
      <w:tr w:rsidR="00CC7514" w14:paraId="39520954" w14:textId="77777777">
        <w:tblPrEx>
          <w:tblCellMar>
            <w:top w:w="0" w:type="dxa"/>
            <w:bottom w:w="0" w:type="dxa"/>
          </w:tblCellMar>
        </w:tblPrEx>
        <w:tc>
          <w:tcPr>
            <w:tcW w:w="1400" w:type="dxa"/>
            <w:tcBorders>
              <w:top w:val="single" w:sz="1" w:space="0" w:color="D1D5DB"/>
              <w:left w:val="single" w:sz="1" w:space="0" w:color="D1D5DB"/>
              <w:bottom w:val="single" w:sz="1" w:space="0" w:color="D1D5DB"/>
              <w:right w:val="single" w:sz="1" w:space="0" w:color="D1D5DB"/>
            </w:tcBorders>
            <w:shd w:val="clear" w:color="auto" w:fill="FEF3C7"/>
            <w:tcMar>
              <w:top w:w="80" w:type="dxa"/>
              <w:left w:w="100" w:type="dxa"/>
              <w:bottom w:w="80" w:type="dxa"/>
              <w:right w:w="80" w:type="dxa"/>
            </w:tcMar>
          </w:tcPr>
          <w:p w14:paraId="4E30C77A" w14:textId="77777777" w:rsidR="00CC7514" w:rsidRDefault="00000000">
            <w:pPr>
              <w:jc w:val="center"/>
            </w:pPr>
            <w:r>
              <w:rPr>
                <w:b/>
                <w:bCs/>
                <w:color w:val="92400E"/>
                <w:sz w:val="19"/>
                <w:szCs w:val="19"/>
              </w:rPr>
              <w:t>45 – 64</w:t>
            </w:r>
          </w:p>
        </w:tc>
        <w:tc>
          <w:tcPr>
            <w:tcW w:w="2200" w:type="dxa"/>
            <w:tcBorders>
              <w:top w:val="single" w:sz="1" w:space="0" w:color="D1D5DB"/>
              <w:left w:val="single" w:sz="1" w:space="0" w:color="D1D5DB"/>
              <w:bottom w:val="single" w:sz="1" w:space="0" w:color="D1D5DB"/>
              <w:right w:val="single" w:sz="1" w:space="0" w:color="D1D5DB"/>
            </w:tcBorders>
            <w:shd w:val="clear" w:color="auto" w:fill="FEF3C7"/>
            <w:tcMar>
              <w:top w:w="80" w:type="dxa"/>
              <w:left w:w="100" w:type="dxa"/>
              <w:bottom w:w="80" w:type="dxa"/>
              <w:right w:w="80" w:type="dxa"/>
            </w:tcMar>
          </w:tcPr>
          <w:p w14:paraId="4061818A" w14:textId="77777777" w:rsidR="00CC7514" w:rsidRDefault="00000000">
            <w:r>
              <w:rPr>
                <w:b/>
                <w:bCs/>
                <w:color w:val="92400E"/>
                <w:sz w:val="19"/>
                <w:szCs w:val="19"/>
              </w:rPr>
              <w:t>Conditional</w:t>
            </w:r>
          </w:p>
        </w:tc>
        <w:tc>
          <w:tcPr>
            <w:tcW w:w="548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00" w:type="dxa"/>
              <w:bottom w:w="80" w:type="dxa"/>
              <w:right w:w="80" w:type="dxa"/>
            </w:tcMar>
          </w:tcPr>
          <w:p w14:paraId="77B36C63" w14:textId="77777777" w:rsidR="00CC7514" w:rsidRDefault="00000000">
            <w:r>
              <w:rPr>
                <w:color w:val="374151"/>
                <w:sz w:val="19"/>
                <w:szCs w:val="19"/>
              </w:rPr>
              <w:t>Proceed only if critical gaps (scored 0) are resolved by design.</w:t>
            </w:r>
          </w:p>
        </w:tc>
      </w:tr>
      <w:tr w:rsidR="00CC7514" w14:paraId="49AD7B8A" w14:textId="77777777">
        <w:tblPrEx>
          <w:tblCellMar>
            <w:top w:w="0" w:type="dxa"/>
            <w:bottom w:w="0" w:type="dxa"/>
          </w:tblCellMar>
        </w:tblPrEx>
        <w:tc>
          <w:tcPr>
            <w:tcW w:w="1400" w:type="dxa"/>
            <w:tcBorders>
              <w:top w:val="single" w:sz="1" w:space="0" w:color="D1D5DB"/>
              <w:left w:val="single" w:sz="1" w:space="0" w:color="D1D5DB"/>
              <w:bottom w:val="single" w:sz="1" w:space="0" w:color="D1D5DB"/>
              <w:right w:val="single" w:sz="1" w:space="0" w:color="D1D5DB"/>
            </w:tcBorders>
            <w:shd w:val="clear" w:color="auto" w:fill="FFEDD5"/>
            <w:tcMar>
              <w:top w:w="80" w:type="dxa"/>
              <w:left w:w="100" w:type="dxa"/>
              <w:bottom w:w="80" w:type="dxa"/>
              <w:right w:w="80" w:type="dxa"/>
            </w:tcMar>
          </w:tcPr>
          <w:p w14:paraId="1B3C9CA2" w14:textId="77777777" w:rsidR="00CC7514" w:rsidRDefault="00000000">
            <w:pPr>
              <w:jc w:val="center"/>
            </w:pPr>
            <w:r>
              <w:rPr>
                <w:b/>
                <w:bCs/>
                <w:color w:val="C2410C"/>
                <w:sz w:val="19"/>
                <w:szCs w:val="19"/>
              </w:rPr>
              <w:t>25 – 44</w:t>
            </w:r>
          </w:p>
        </w:tc>
        <w:tc>
          <w:tcPr>
            <w:tcW w:w="2200" w:type="dxa"/>
            <w:tcBorders>
              <w:top w:val="single" w:sz="1" w:space="0" w:color="D1D5DB"/>
              <w:left w:val="single" w:sz="1" w:space="0" w:color="D1D5DB"/>
              <w:bottom w:val="single" w:sz="1" w:space="0" w:color="D1D5DB"/>
              <w:right w:val="single" w:sz="1" w:space="0" w:color="D1D5DB"/>
            </w:tcBorders>
            <w:shd w:val="clear" w:color="auto" w:fill="FFEDD5"/>
            <w:tcMar>
              <w:top w:w="80" w:type="dxa"/>
              <w:left w:w="100" w:type="dxa"/>
              <w:bottom w:w="80" w:type="dxa"/>
              <w:right w:w="80" w:type="dxa"/>
            </w:tcMar>
          </w:tcPr>
          <w:p w14:paraId="7F51A068" w14:textId="77777777" w:rsidR="00CC7514" w:rsidRDefault="00000000">
            <w:r>
              <w:rPr>
                <w:b/>
                <w:bCs/>
                <w:color w:val="C2410C"/>
                <w:sz w:val="19"/>
                <w:szCs w:val="19"/>
              </w:rPr>
              <w:t>Weak Fit</w:t>
            </w:r>
          </w:p>
        </w:tc>
        <w:tc>
          <w:tcPr>
            <w:tcW w:w="548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00" w:type="dxa"/>
              <w:bottom w:w="80" w:type="dxa"/>
              <w:right w:w="80" w:type="dxa"/>
            </w:tcMar>
          </w:tcPr>
          <w:p w14:paraId="7983A067" w14:textId="77777777" w:rsidR="00CC7514" w:rsidRDefault="00000000">
            <w:r>
              <w:rPr>
                <w:color w:val="374151"/>
                <w:sz w:val="19"/>
                <w:szCs w:val="19"/>
              </w:rPr>
              <w:t>Significant structural gaps. Re-examine problem framing.</w:t>
            </w:r>
          </w:p>
        </w:tc>
      </w:tr>
      <w:tr w:rsidR="00CC7514" w14:paraId="5A1A61D1" w14:textId="77777777">
        <w:tblPrEx>
          <w:tblCellMar>
            <w:top w:w="0" w:type="dxa"/>
            <w:bottom w:w="0" w:type="dxa"/>
          </w:tblCellMar>
        </w:tblPrEx>
        <w:tc>
          <w:tcPr>
            <w:tcW w:w="1400" w:type="dxa"/>
            <w:tcBorders>
              <w:top w:val="single" w:sz="1" w:space="0" w:color="D1D5DB"/>
              <w:left w:val="single" w:sz="1" w:space="0" w:color="D1D5DB"/>
              <w:bottom w:val="single" w:sz="1" w:space="0" w:color="D1D5DB"/>
              <w:right w:val="single" w:sz="1" w:space="0" w:color="D1D5DB"/>
            </w:tcBorders>
            <w:shd w:val="clear" w:color="auto" w:fill="FEE2E2"/>
            <w:tcMar>
              <w:top w:w="80" w:type="dxa"/>
              <w:left w:w="100" w:type="dxa"/>
              <w:bottom w:w="80" w:type="dxa"/>
              <w:right w:w="80" w:type="dxa"/>
            </w:tcMar>
          </w:tcPr>
          <w:p w14:paraId="1F693B2C" w14:textId="77777777" w:rsidR="00CC7514" w:rsidRDefault="00000000">
            <w:pPr>
              <w:jc w:val="center"/>
            </w:pPr>
            <w:r>
              <w:rPr>
                <w:b/>
                <w:bCs/>
                <w:color w:val="991B1B"/>
                <w:sz w:val="19"/>
                <w:szCs w:val="19"/>
              </w:rPr>
              <w:t>0 – 24</w:t>
            </w:r>
          </w:p>
        </w:tc>
        <w:tc>
          <w:tcPr>
            <w:tcW w:w="2200" w:type="dxa"/>
            <w:tcBorders>
              <w:top w:val="single" w:sz="1" w:space="0" w:color="D1D5DB"/>
              <w:left w:val="single" w:sz="1" w:space="0" w:color="D1D5DB"/>
              <w:bottom w:val="single" w:sz="1" w:space="0" w:color="D1D5DB"/>
              <w:right w:val="single" w:sz="1" w:space="0" w:color="D1D5DB"/>
            </w:tcBorders>
            <w:shd w:val="clear" w:color="auto" w:fill="FEE2E2"/>
            <w:tcMar>
              <w:top w:w="80" w:type="dxa"/>
              <w:left w:w="100" w:type="dxa"/>
              <w:bottom w:w="80" w:type="dxa"/>
              <w:right w:w="80" w:type="dxa"/>
            </w:tcMar>
          </w:tcPr>
          <w:p w14:paraId="230FB8E4" w14:textId="77777777" w:rsidR="00CC7514" w:rsidRDefault="00000000">
            <w:r>
              <w:rPr>
                <w:b/>
                <w:bCs/>
                <w:color w:val="991B1B"/>
                <w:sz w:val="19"/>
                <w:szCs w:val="19"/>
              </w:rPr>
              <w:t>Not Recommended</w:t>
            </w:r>
          </w:p>
        </w:tc>
        <w:tc>
          <w:tcPr>
            <w:tcW w:w="548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00" w:type="dxa"/>
              <w:bottom w:w="80" w:type="dxa"/>
              <w:right w:w="80" w:type="dxa"/>
            </w:tcMar>
          </w:tcPr>
          <w:p w14:paraId="2D34B542" w14:textId="77777777" w:rsidR="00CC7514" w:rsidRDefault="00000000">
            <w:r>
              <w:rPr>
                <w:color w:val="374151"/>
                <w:sz w:val="19"/>
                <w:szCs w:val="19"/>
              </w:rPr>
              <w:t>Fundamental misalignment. Do not proceed without major redesign.</w:t>
            </w:r>
          </w:p>
        </w:tc>
      </w:tr>
    </w:tbl>
    <w:p w14:paraId="41277BA6" w14:textId="2D27F6DD" w:rsidR="00445049" w:rsidRDefault="00445049">
      <w:pPr>
        <w:spacing w:before="40"/>
      </w:pPr>
    </w:p>
    <w:p w14:paraId="7136567F" w14:textId="77777777" w:rsidR="00445049" w:rsidRDefault="00445049">
      <w:r>
        <w:br w:type="page"/>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CC7514" w14:paraId="21AABF3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0D2137"/>
            <w:tcMar>
              <w:top w:w="140" w:type="dxa"/>
              <w:left w:w="180" w:type="dxa"/>
              <w:bottom w:w="100" w:type="dxa"/>
              <w:right w:w="180" w:type="dxa"/>
            </w:tcMar>
          </w:tcPr>
          <w:p w14:paraId="22BF5849" w14:textId="77777777" w:rsidR="00CC7514" w:rsidRDefault="00000000">
            <w:r>
              <w:rPr>
                <w:b/>
                <w:bCs/>
                <w:color w:val="FFFFFF"/>
                <w:sz w:val="26"/>
                <w:szCs w:val="26"/>
              </w:rPr>
              <w:lastRenderedPageBreak/>
              <w:t>QUALITATIVE ASSESSMENT NOTES</w:t>
            </w:r>
          </w:p>
        </w:tc>
      </w:tr>
    </w:tbl>
    <w:p w14:paraId="2E765A87" w14:textId="77777777" w:rsidR="00CC7514" w:rsidRDefault="00CC7514">
      <w:pPr>
        <w:spacing w:before="20"/>
      </w:pPr>
    </w:p>
    <w:p w14:paraId="0D7BB3B4" w14:textId="77777777" w:rsidR="00CC7514" w:rsidRDefault="00000000">
      <w:pPr>
        <w:spacing w:before="120" w:after="60"/>
      </w:pPr>
      <w:r>
        <w:rPr>
          <w:b/>
          <w:bCs/>
          <w:color w:val="0D2137"/>
        </w:rPr>
        <w:t>Key strengths of this use case for Tangram + Edge AI deployment</w:t>
      </w:r>
    </w:p>
    <w:p w14:paraId="5DA9BEE1" w14:textId="77777777" w:rsidR="00CC7514" w:rsidRDefault="00000000">
      <w:pPr>
        <w:spacing w:before="40" w:after="20"/>
      </w:pPr>
      <w:r>
        <w:rPr>
          <w:color w:val="F3F4F6"/>
          <w:sz w:val="19"/>
          <w:szCs w:val="19"/>
        </w:rPr>
        <w:t>____________________________________________________________________________________________________</w:t>
      </w:r>
    </w:p>
    <w:p w14:paraId="540CAA4F" w14:textId="77777777" w:rsidR="00CC7514" w:rsidRDefault="00000000">
      <w:pPr>
        <w:spacing w:before="20" w:after="20"/>
      </w:pPr>
      <w:r>
        <w:rPr>
          <w:color w:val="F3F4F6"/>
          <w:sz w:val="19"/>
          <w:szCs w:val="19"/>
        </w:rPr>
        <w:t>____________________________________________________________________________________________________</w:t>
      </w:r>
    </w:p>
    <w:p w14:paraId="04EE7A1C" w14:textId="77777777" w:rsidR="00CC7514" w:rsidRDefault="00000000">
      <w:pPr>
        <w:spacing w:before="20" w:after="20"/>
      </w:pPr>
      <w:r>
        <w:rPr>
          <w:color w:val="F3F4F6"/>
          <w:sz w:val="19"/>
          <w:szCs w:val="19"/>
        </w:rPr>
        <w:t>____________________________________________________________________________________________________</w:t>
      </w:r>
    </w:p>
    <w:p w14:paraId="4BCF3CBE" w14:textId="77777777" w:rsidR="00CC7514" w:rsidRDefault="00000000">
      <w:pPr>
        <w:spacing w:before="20" w:after="60"/>
      </w:pPr>
      <w:r>
        <w:rPr>
          <w:color w:val="F3F4F6"/>
          <w:sz w:val="19"/>
          <w:szCs w:val="19"/>
        </w:rPr>
        <w:t>____________________________________________________________________________________________________</w:t>
      </w:r>
    </w:p>
    <w:p w14:paraId="685A242E" w14:textId="77777777" w:rsidR="00CC7514" w:rsidRDefault="00000000">
      <w:pPr>
        <w:spacing w:before="120" w:after="60"/>
      </w:pPr>
      <w:r>
        <w:rPr>
          <w:b/>
          <w:bCs/>
          <w:color w:val="0D2137"/>
        </w:rPr>
        <w:t>Critical gaps or risks identified during evaluation</w:t>
      </w:r>
    </w:p>
    <w:p w14:paraId="652AECC6" w14:textId="77777777" w:rsidR="00CC7514" w:rsidRDefault="00000000">
      <w:pPr>
        <w:spacing w:before="40" w:after="20"/>
      </w:pPr>
      <w:r>
        <w:rPr>
          <w:color w:val="F3F4F6"/>
          <w:sz w:val="19"/>
          <w:szCs w:val="19"/>
        </w:rPr>
        <w:t>____________________________________________________________________________________________________</w:t>
      </w:r>
    </w:p>
    <w:p w14:paraId="3ACA4FA2" w14:textId="77777777" w:rsidR="00CC7514" w:rsidRDefault="00000000">
      <w:pPr>
        <w:spacing w:before="20" w:after="20"/>
      </w:pPr>
      <w:r>
        <w:rPr>
          <w:color w:val="F3F4F6"/>
          <w:sz w:val="19"/>
          <w:szCs w:val="19"/>
        </w:rPr>
        <w:t>____________________________________________________________________________________________________</w:t>
      </w:r>
    </w:p>
    <w:p w14:paraId="7E5DBC4F" w14:textId="77777777" w:rsidR="00CC7514" w:rsidRDefault="00000000">
      <w:pPr>
        <w:spacing w:before="20" w:after="20"/>
      </w:pPr>
      <w:r>
        <w:rPr>
          <w:color w:val="F3F4F6"/>
          <w:sz w:val="19"/>
          <w:szCs w:val="19"/>
        </w:rPr>
        <w:t>____________________________________________________________________________________________________</w:t>
      </w:r>
    </w:p>
    <w:p w14:paraId="6D0E2752" w14:textId="77777777" w:rsidR="00CC7514" w:rsidRDefault="00000000">
      <w:pPr>
        <w:spacing w:before="20" w:after="60"/>
      </w:pPr>
      <w:r>
        <w:rPr>
          <w:color w:val="F3F4F6"/>
          <w:sz w:val="19"/>
          <w:szCs w:val="19"/>
        </w:rPr>
        <w:t>____________________________________________________________________________________________________</w:t>
      </w:r>
    </w:p>
    <w:p w14:paraId="5307621C" w14:textId="77777777" w:rsidR="00CC7514" w:rsidRDefault="00000000">
      <w:pPr>
        <w:spacing w:before="120" w:after="60"/>
      </w:pPr>
      <w:r>
        <w:rPr>
          <w:b/>
          <w:bCs/>
          <w:color w:val="0D2137"/>
        </w:rPr>
        <w:t>Recommended conditions or design decisions if proceeding</w:t>
      </w:r>
    </w:p>
    <w:p w14:paraId="5D4BA69C" w14:textId="77777777" w:rsidR="00CC7514" w:rsidRDefault="00000000">
      <w:pPr>
        <w:spacing w:before="40" w:after="20"/>
      </w:pPr>
      <w:r>
        <w:rPr>
          <w:color w:val="F3F4F6"/>
          <w:sz w:val="19"/>
          <w:szCs w:val="19"/>
        </w:rPr>
        <w:t>____________________________________________________________________________________________________</w:t>
      </w:r>
    </w:p>
    <w:p w14:paraId="3A4391BA" w14:textId="77777777" w:rsidR="00CC7514" w:rsidRDefault="00000000">
      <w:pPr>
        <w:spacing w:before="20" w:after="20"/>
      </w:pPr>
      <w:r>
        <w:rPr>
          <w:color w:val="F3F4F6"/>
          <w:sz w:val="19"/>
          <w:szCs w:val="19"/>
        </w:rPr>
        <w:t>____________________________________________________________________________________________________</w:t>
      </w:r>
    </w:p>
    <w:p w14:paraId="4D3A6B5B" w14:textId="77777777" w:rsidR="00CC7514" w:rsidRDefault="00000000">
      <w:pPr>
        <w:spacing w:before="20" w:after="20"/>
      </w:pPr>
      <w:r>
        <w:rPr>
          <w:color w:val="F3F4F6"/>
          <w:sz w:val="19"/>
          <w:szCs w:val="19"/>
        </w:rPr>
        <w:t>____________________________________________________________________________________________________</w:t>
      </w:r>
    </w:p>
    <w:p w14:paraId="55355348" w14:textId="77777777" w:rsidR="00CC7514" w:rsidRDefault="00000000">
      <w:pPr>
        <w:spacing w:before="20" w:after="60"/>
      </w:pPr>
      <w:r>
        <w:rPr>
          <w:color w:val="F3F4F6"/>
          <w:sz w:val="19"/>
          <w:szCs w:val="19"/>
        </w:rPr>
        <w:t>____________________________________________________________________________________________________</w:t>
      </w:r>
    </w:p>
    <w:p w14:paraId="79C8C719" w14:textId="77777777" w:rsidR="00CC7514" w:rsidRDefault="00000000">
      <w:pPr>
        <w:spacing w:before="120" w:after="60"/>
      </w:pPr>
      <w:r>
        <w:rPr>
          <w:b/>
          <w:bCs/>
          <w:color w:val="0D2137"/>
        </w:rPr>
        <w:t>Next steps / decision</w:t>
      </w:r>
    </w:p>
    <w:p w14:paraId="268AF109" w14:textId="77777777" w:rsidR="00CC7514" w:rsidRDefault="00000000">
      <w:pPr>
        <w:spacing w:before="40" w:after="20"/>
      </w:pPr>
      <w:r>
        <w:rPr>
          <w:color w:val="F3F4F6"/>
          <w:sz w:val="19"/>
          <w:szCs w:val="19"/>
        </w:rPr>
        <w:t>____________________________________________________________________________________________________</w:t>
      </w:r>
    </w:p>
    <w:p w14:paraId="3B4DAFED" w14:textId="77777777" w:rsidR="00CC7514" w:rsidRDefault="00000000">
      <w:pPr>
        <w:spacing w:before="20" w:after="20"/>
      </w:pPr>
      <w:r>
        <w:rPr>
          <w:color w:val="F3F4F6"/>
          <w:sz w:val="19"/>
          <w:szCs w:val="19"/>
        </w:rPr>
        <w:t>____________________________________________________________________________________________________</w:t>
      </w:r>
    </w:p>
    <w:p w14:paraId="2E62DFC8" w14:textId="77777777" w:rsidR="00CC7514" w:rsidRDefault="00000000">
      <w:pPr>
        <w:spacing w:before="20" w:after="20"/>
      </w:pPr>
      <w:r>
        <w:rPr>
          <w:color w:val="F3F4F6"/>
          <w:sz w:val="19"/>
          <w:szCs w:val="19"/>
        </w:rPr>
        <w:t>____________________________________________________________________________________________________</w:t>
      </w:r>
    </w:p>
    <w:p w14:paraId="222FB67A" w14:textId="77777777" w:rsidR="00CC7514" w:rsidRDefault="00000000">
      <w:pPr>
        <w:spacing w:before="20" w:after="60"/>
      </w:pPr>
      <w:r>
        <w:rPr>
          <w:color w:val="F3F4F6"/>
          <w:sz w:val="19"/>
          <w:szCs w:val="19"/>
        </w:rPr>
        <w:t>____________________________________________________________________________________________________</w:t>
      </w:r>
    </w:p>
    <w:p w14:paraId="1B78305A" w14:textId="77777777" w:rsidR="00CC7514" w:rsidRDefault="00CC7514">
      <w:pPr>
        <w:spacing w:before="60"/>
      </w:pPr>
    </w:p>
    <w:p w14:paraId="6CE3B1DA" w14:textId="77777777" w:rsidR="00CC7514" w:rsidRDefault="00000000">
      <w:pPr>
        <w:spacing w:before="60" w:after="60"/>
      </w:pPr>
      <w:r>
        <w:rPr>
          <w:color w:val="6B7280"/>
          <w:sz w:val="17"/>
          <w:szCs w:val="17"/>
        </w:rPr>
        <w:t xml:space="preserve">This evaluation instrument is structured around the Tangram zone architecture as described in the Tangram framework documentation. The five evaluation dimensions — zone architecture viability, policy layer density, edge AI integration fit, operational reporting readiness, and commercial viability — correspond to the architectural requirements for a deployment that demonstrably enforces governance structure, separates policy from operations, positions AI as a </w:t>
      </w:r>
      <w:proofErr w:type="spellStart"/>
      <w:r>
        <w:rPr>
          <w:color w:val="6B7280"/>
          <w:sz w:val="17"/>
          <w:szCs w:val="17"/>
        </w:rPr>
        <w:t>conops</w:t>
      </w:r>
      <w:proofErr w:type="spellEnd"/>
      <w:r>
        <w:rPr>
          <w:color w:val="6B7280"/>
          <w:sz w:val="17"/>
          <w:szCs w:val="17"/>
        </w:rPr>
        <w:t>-layer input rather than a policy decision-maker, and produces auditable reporting across all three layers. A use case that scores well on all five dimensions will produce a deployment that is technically sound, legally defensible, commercially viable, and demonstrable to investors and regulators without domain-specific expertise.</w:t>
      </w:r>
    </w:p>
    <w:sectPr w:rsidR="00CC7514">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8131F"/>
    <w:multiLevelType w:val="hybridMultilevel"/>
    <w:tmpl w:val="B8D41D4E"/>
    <w:lvl w:ilvl="0" w:tplc="AEEE80A8">
      <w:start w:val="1"/>
      <w:numFmt w:val="bullet"/>
      <w:lvlText w:val="●"/>
      <w:lvlJc w:val="left"/>
      <w:pPr>
        <w:ind w:left="720" w:hanging="360"/>
      </w:pPr>
    </w:lvl>
    <w:lvl w:ilvl="1" w:tplc="2B08531C">
      <w:start w:val="1"/>
      <w:numFmt w:val="bullet"/>
      <w:lvlText w:val="○"/>
      <w:lvlJc w:val="left"/>
      <w:pPr>
        <w:ind w:left="1440" w:hanging="360"/>
      </w:pPr>
    </w:lvl>
    <w:lvl w:ilvl="2" w:tplc="EC5C1D66">
      <w:start w:val="1"/>
      <w:numFmt w:val="bullet"/>
      <w:lvlText w:val="■"/>
      <w:lvlJc w:val="left"/>
      <w:pPr>
        <w:ind w:left="2160" w:hanging="360"/>
      </w:pPr>
    </w:lvl>
    <w:lvl w:ilvl="3" w:tplc="327E8642">
      <w:start w:val="1"/>
      <w:numFmt w:val="bullet"/>
      <w:lvlText w:val="●"/>
      <w:lvlJc w:val="left"/>
      <w:pPr>
        <w:ind w:left="2880" w:hanging="360"/>
      </w:pPr>
    </w:lvl>
    <w:lvl w:ilvl="4" w:tplc="0D921FBC">
      <w:start w:val="1"/>
      <w:numFmt w:val="bullet"/>
      <w:lvlText w:val="○"/>
      <w:lvlJc w:val="left"/>
      <w:pPr>
        <w:ind w:left="3600" w:hanging="360"/>
      </w:pPr>
    </w:lvl>
    <w:lvl w:ilvl="5" w:tplc="E6247CE2">
      <w:start w:val="1"/>
      <w:numFmt w:val="bullet"/>
      <w:lvlText w:val="■"/>
      <w:lvlJc w:val="left"/>
      <w:pPr>
        <w:ind w:left="4320" w:hanging="360"/>
      </w:pPr>
    </w:lvl>
    <w:lvl w:ilvl="6" w:tplc="65C23B8C">
      <w:start w:val="1"/>
      <w:numFmt w:val="bullet"/>
      <w:lvlText w:val="●"/>
      <w:lvlJc w:val="left"/>
      <w:pPr>
        <w:ind w:left="5040" w:hanging="360"/>
      </w:pPr>
    </w:lvl>
    <w:lvl w:ilvl="7" w:tplc="CD6AD77C">
      <w:start w:val="1"/>
      <w:numFmt w:val="bullet"/>
      <w:lvlText w:val="●"/>
      <w:lvlJc w:val="left"/>
      <w:pPr>
        <w:ind w:left="5760" w:hanging="360"/>
      </w:pPr>
    </w:lvl>
    <w:lvl w:ilvl="8" w:tplc="2F0A18FA">
      <w:start w:val="1"/>
      <w:numFmt w:val="bullet"/>
      <w:lvlText w:val="●"/>
      <w:lvlJc w:val="left"/>
      <w:pPr>
        <w:ind w:left="6480" w:hanging="360"/>
      </w:pPr>
    </w:lvl>
  </w:abstractNum>
  <w:num w:numId="1" w16cid:durableId="9058454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514"/>
    <w:rsid w:val="00445049"/>
    <w:rsid w:val="00CC7514"/>
    <w:rsid w:val="00E263B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2055B"/>
  <w15:docId w15:val="{EFE8D427-C8FF-4BC6-A35D-622B13B89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60"/>
      <w:outlineLvl w:val="0"/>
    </w:pPr>
    <w:rPr>
      <w:b/>
      <w:bCs/>
      <w:color w:val="0D2137"/>
      <w:sz w:val="32"/>
      <w:szCs w:val="32"/>
    </w:rPr>
  </w:style>
  <w:style w:type="paragraph" w:styleId="Heading2">
    <w:name w:val="heading 2"/>
    <w:uiPriority w:val="9"/>
    <w:semiHidden/>
    <w:unhideWhenUsed/>
    <w:qFormat/>
    <w:pPr>
      <w:spacing w:before="200" w:after="100"/>
      <w:outlineLvl w:val="1"/>
    </w:pPr>
    <w:rPr>
      <w:b/>
      <w:bCs/>
      <w:color w:val="B45309"/>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2302</Words>
  <Characters>13123</Characters>
  <Application>Microsoft Office Word</Application>
  <DocSecurity>0</DocSecurity>
  <Lines>109</Lines>
  <Paragraphs>30</Paragraphs>
  <ScaleCrop>false</ScaleCrop>
  <Company/>
  <LinksUpToDate>false</LinksUpToDate>
  <CharactersWithSpaces>15395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Mark Mintz</cp:lastModifiedBy>
  <cp:revision>2</cp:revision>
  <dcterms:created xsi:type="dcterms:W3CDTF">2026-02-21T17:37:00Z</dcterms:created>
  <dcterms:modified xsi:type="dcterms:W3CDTF">2026-02-21T17:54:00Z</dcterms:modified>
</cp:coreProperties>
</file>